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0"/>
      </w:tblGrid>
      <w:tr w:rsidR="00000000">
        <w:tblPrEx>
          <w:tblCellMar>
            <w:top w:w="0" w:type="dxa"/>
            <w:bottom w:w="0" w:type="dxa"/>
          </w:tblCellMar>
        </w:tblPrEx>
        <w:tc>
          <w:tcPr>
            <w:tcW w:w="9160" w:type="dxa"/>
            <w:shd w:val="clear" w:color="auto" w:fill="FFF8C5"/>
          </w:tcPr>
          <w:p w:rsidR="00000000" w:rsidRDefault="00E270FF">
            <w:pPr>
              <w:pStyle w:val="Corpotesto"/>
              <w:widowControl w:val="0"/>
              <w:spacing w:before="0" w:after="0"/>
              <w:rPr>
                <w:rFonts w:ascii="Times New Roman" w:hAnsi="Times New Roman"/>
                <w:sz w:val="24"/>
              </w:rPr>
            </w:pPr>
            <w:bookmarkStart w:id="0" w:name="_GoBack"/>
            <w:bookmarkEnd w:id="0"/>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b/>
                <w:sz w:val="36"/>
              </w:rPr>
            </w:pPr>
          </w:p>
          <w:p w:rsidR="00000000" w:rsidRDefault="00E270FF">
            <w:pPr>
              <w:pStyle w:val="Corpotesto"/>
              <w:widowControl w:val="0"/>
              <w:spacing w:before="0" w:after="0"/>
              <w:rPr>
                <w:rFonts w:ascii="Times New Roman" w:hAnsi="Times New Roman"/>
                <w:b/>
                <w:sz w:val="36"/>
              </w:rPr>
            </w:pPr>
          </w:p>
          <w:p w:rsidR="00000000" w:rsidRDefault="00E270FF">
            <w:pPr>
              <w:pStyle w:val="Corpotesto"/>
              <w:widowControl w:val="0"/>
              <w:spacing w:before="0" w:after="0"/>
              <w:rPr>
                <w:rFonts w:ascii="Times New Roman" w:hAnsi="Times New Roman"/>
                <w:sz w:val="36"/>
              </w:rPr>
            </w:pPr>
            <w:r>
              <w:rPr>
                <w:rFonts w:ascii="Times New Roman" w:hAnsi="Times New Roman"/>
                <w:sz w:val="36"/>
              </w:rPr>
              <w:t>Henri Bergson (1915)</w:t>
            </w: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FF0000"/>
                <w:sz w:val="24"/>
              </w:rPr>
            </w:pPr>
          </w:p>
          <w:p w:rsidR="00000000" w:rsidRDefault="00E270FF">
            <w:pPr>
              <w:pStyle w:val="Corpotesto"/>
              <w:widowControl w:val="0"/>
              <w:spacing w:before="0" w:after="0"/>
              <w:rPr>
                <w:rFonts w:ascii="Times New Roman" w:hAnsi="Times New Roman"/>
                <w:color w:val="000080"/>
                <w:sz w:val="96"/>
              </w:rPr>
            </w:pPr>
            <w:r>
              <w:rPr>
                <w:rFonts w:ascii="Times New Roman" w:hAnsi="Times New Roman"/>
                <w:color w:val="FF0000"/>
                <w:sz w:val="96"/>
              </w:rPr>
              <w:t>“ La philosophie française ”</w:t>
            </w:r>
          </w:p>
          <w:p w:rsidR="00000000" w:rsidRDefault="00E270FF">
            <w:pPr>
              <w:pStyle w:val="planche"/>
              <w:rPr>
                <w:rFonts w:ascii="Times New Roman" w:hAnsi="Times New Roman"/>
              </w:rPr>
            </w:pPr>
          </w:p>
          <w:p w:rsidR="00000000" w:rsidRDefault="00E270FF">
            <w:pPr>
              <w:widowControl w:val="0"/>
              <w:ind w:firstLine="0"/>
              <w:jc w:val="center"/>
              <w:rPr>
                <w:rFonts w:ascii="Times New Roman" w:hAnsi="Times New Roman"/>
              </w:rPr>
            </w:pPr>
          </w:p>
          <w:p w:rsidR="00000000" w:rsidRDefault="00E270FF">
            <w:pPr>
              <w:widowControl w:val="0"/>
              <w:ind w:firstLine="0"/>
              <w:jc w:val="center"/>
              <w:rPr>
                <w:rFonts w:ascii="Times New Roman" w:hAnsi="Times New Roman"/>
              </w:rPr>
            </w:pPr>
          </w:p>
          <w:p w:rsidR="00000000" w:rsidRDefault="00E270FF">
            <w:pPr>
              <w:widowControl w:val="0"/>
              <w:ind w:firstLine="0"/>
              <w:jc w:val="center"/>
              <w:rPr>
                <w:rFonts w:ascii="Times New Roman" w:hAnsi="Times New Roman"/>
              </w:rPr>
            </w:pPr>
          </w:p>
          <w:p w:rsidR="00000000" w:rsidRDefault="00E270FF">
            <w:pPr>
              <w:widowControl w:val="0"/>
              <w:ind w:firstLine="0"/>
              <w:jc w:val="center"/>
              <w:rPr>
                <w:rFonts w:ascii="Times New Roman" w:hAnsi="Times New Roman"/>
              </w:rPr>
            </w:pPr>
          </w:p>
          <w:p w:rsidR="00000000" w:rsidRDefault="00E270FF">
            <w:pPr>
              <w:jc w:val="center"/>
              <w:rPr>
                <w:rFonts w:ascii="Times New Roman" w:hAnsi="Times New Roman"/>
              </w:rPr>
            </w:pPr>
          </w:p>
          <w:p w:rsidR="00000000" w:rsidRDefault="00E270FF">
            <w:pPr>
              <w:ind w:firstLine="0"/>
              <w:jc w:val="center"/>
              <w:rPr>
                <w:rFonts w:ascii="Times New Roman" w:hAnsi="Times New Roman"/>
                <w:sz w:val="20"/>
              </w:rPr>
            </w:pPr>
            <w:r>
              <w:rPr>
                <w:rFonts w:ascii="Times New Roman" w:hAnsi="Times New Roman"/>
                <w:sz w:val="20"/>
              </w:rPr>
              <w:t>Un document produit en version numérique par Bertrand Gibier, bénévole,</w:t>
            </w:r>
          </w:p>
          <w:p w:rsidR="00000000" w:rsidRDefault="00E270FF">
            <w:pPr>
              <w:ind w:firstLine="0"/>
              <w:jc w:val="center"/>
              <w:rPr>
                <w:rFonts w:ascii="Times New Roman" w:hAnsi="Times New Roman"/>
                <w:sz w:val="20"/>
              </w:rPr>
            </w:pPr>
            <w:r>
              <w:rPr>
                <w:rFonts w:ascii="Times New Roman" w:hAnsi="Times New Roman"/>
                <w:sz w:val="20"/>
              </w:rPr>
              <w:t xml:space="preserve">Courriel: </w:t>
            </w:r>
            <w:hyperlink r:id="rId7" w:history="1">
              <w:r>
                <w:rPr>
                  <w:rStyle w:val="Collegamentoipertestuale"/>
                  <w:rFonts w:ascii="Times New Roman" w:hAnsi="Times New Roman"/>
                  <w:sz w:val="20"/>
                </w:rPr>
                <w:t>bertrand.gibier@ac-lille.fr</w:t>
              </w:r>
            </w:hyperlink>
            <w:r>
              <w:rPr>
                <w:rFonts w:ascii="Times New Roman" w:hAnsi="Times New Roman"/>
                <w:sz w:val="20"/>
              </w:rPr>
              <w:t xml:space="preserve"> </w:t>
            </w:r>
          </w:p>
          <w:p w:rsidR="00000000" w:rsidRDefault="00E270FF">
            <w:pPr>
              <w:ind w:firstLine="0"/>
              <w:jc w:val="center"/>
              <w:rPr>
                <w:rFonts w:ascii="Times New Roman" w:hAnsi="Times New Roman"/>
                <w:sz w:val="20"/>
              </w:rPr>
            </w:pPr>
          </w:p>
          <w:p w:rsidR="00000000" w:rsidRDefault="00E270FF">
            <w:pPr>
              <w:ind w:firstLine="0"/>
              <w:jc w:val="center"/>
              <w:rPr>
                <w:rFonts w:ascii="Times New Roman" w:hAnsi="Times New Roman"/>
                <w:sz w:val="20"/>
              </w:rPr>
            </w:pPr>
            <w:r>
              <w:rPr>
                <w:rFonts w:ascii="Times New Roman" w:hAnsi="Times New Roman"/>
                <w:sz w:val="20"/>
              </w:rPr>
              <w:t>Dans le cadre de la coll</w:t>
            </w:r>
            <w:r>
              <w:rPr>
                <w:rFonts w:ascii="Times New Roman" w:hAnsi="Times New Roman"/>
                <w:sz w:val="20"/>
              </w:rPr>
              <w:t>ection: "Les classiques des sciences sociales"</w:t>
            </w:r>
          </w:p>
          <w:p w:rsidR="00000000" w:rsidRDefault="00E270FF">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http://www.uqac.uquebec.ca/zone30/Classiques_des_sciences_sociales/index.html</w:t>
              </w:r>
            </w:hyperlink>
          </w:p>
          <w:p w:rsidR="00000000" w:rsidRDefault="00E270FF">
            <w:pPr>
              <w:ind w:firstLine="0"/>
              <w:jc w:val="center"/>
              <w:rPr>
                <w:rFonts w:ascii="Times New Roman" w:hAnsi="Times New Roman"/>
                <w:sz w:val="20"/>
              </w:rPr>
            </w:pPr>
            <w:r>
              <w:rPr>
                <w:rFonts w:ascii="Times New Roman" w:hAnsi="Times New Roman"/>
                <w:sz w:val="20"/>
              </w:rPr>
              <w:t>Fondée et dirigée par Jean</w:t>
            </w:r>
            <w:r>
              <w:rPr>
                <w:rFonts w:ascii="Times New Roman" w:hAnsi="Times New Roman"/>
                <w:sz w:val="20"/>
              </w:rPr>
              <w:t xml:space="preserve">-Marie Tremblay, </w:t>
            </w:r>
          </w:p>
          <w:p w:rsidR="00000000" w:rsidRDefault="00E270FF">
            <w:pPr>
              <w:ind w:firstLine="0"/>
              <w:jc w:val="center"/>
              <w:rPr>
                <w:rFonts w:ascii="Times New Roman" w:hAnsi="Times New Roman"/>
                <w:sz w:val="20"/>
              </w:rPr>
            </w:pPr>
            <w:r>
              <w:rPr>
                <w:rFonts w:ascii="Times New Roman" w:hAnsi="Times New Roman"/>
                <w:sz w:val="20"/>
              </w:rPr>
              <w:t>professeur de sociologie au Cégep de Chicoutimi</w:t>
            </w:r>
            <w:r>
              <w:rPr>
                <w:rFonts w:ascii="Times New Roman" w:hAnsi="Times New Roman"/>
                <w:sz w:val="20"/>
              </w:rPr>
              <w:br/>
            </w:r>
          </w:p>
          <w:p w:rsidR="00000000" w:rsidRDefault="00E270FF">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E270FF">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E270FF">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http://bibliotheque.uqac.uquebec.ca/index.htm</w:t>
              </w:r>
            </w:hyperlink>
          </w:p>
          <w:p w:rsidR="00000000" w:rsidRDefault="00E270FF">
            <w:pPr>
              <w:widowControl w:val="0"/>
              <w:ind w:firstLine="0"/>
              <w:jc w:val="both"/>
              <w:rPr>
                <w:rFonts w:ascii="Times New Roman" w:hAnsi="Times New Roman"/>
                <w:sz w:val="20"/>
              </w:rPr>
            </w:pPr>
          </w:p>
          <w:p w:rsidR="00000000" w:rsidRDefault="00E270FF">
            <w:pPr>
              <w:widowControl w:val="0"/>
              <w:ind w:firstLine="0"/>
              <w:jc w:val="both"/>
              <w:rPr>
                <w:rFonts w:ascii="Times New Roman" w:hAnsi="Times New Roman"/>
                <w:sz w:val="20"/>
              </w:rPr>
            </w:pPr>
          </w:p>
          <w:p w:rsidR="00000000" w:rsidRDefault="00E270FF">
            <w:pPr>
              <w:widowControl w:val="0"/>
              <w:ind w:firstLine="0"/>
              <w:jc w:val="both"/>
              <w:rPr>
                <w:rFonts w:ascii="Times New Roman" w:hAnsi="Times New Roman"/>
                <w:sz w:val="20"/>
              </w:rPr>
            </w:pPr>
          </w:p>
          <w:p w:rsidR="00000000" w:rsidRDefault="00E270FF">
            <w:pPr>
              <w:ind w:firstLine="0"/>
              <w:jc w:val="both"/>
              <w:rPr>
                <w:rFonts w:ascii="Times New Roman" w:hAnsi="Times New Roman"/>
              </w:rPr>
            </w:pPr>
          </w:p>
        </w:tc>
      </w:tr>
    </w:tbl>
    <w:p w:rsidR="00000000" w:rsidRDefault="00E270FF">
      <w:pPr>
        <w:ind w:left="20"/>
        <w:jc w:val="both"/>
      </w:pPr>
      <w:r>
        <w:br w:type="page"/>
      </w:r>
    </w:p>
    <w:p w:rsidR="00000000" w:rsidRDefault="00E270FF">
      <w:pPr>
        <w:ind w:right="1800" w:firstLine="0"/>
        <w:rPr>
          <w:rFonts w:ascii="Times New Roman" w:hAnsi="Times New Roman"/>
          <w:sz w:val="22"/>
        </w:rPr>
      </w:pPr>
    </w:p>
    <w:p w:rsidR="00000000" w:rsidRDefault="00E270FF">
      <w:pPr>
        <w:ind w:right="1080" w:firstLine="0"/>
        <w:rPr>
          <w:rFonts w:ascii="Times New Roman" w:hAnsi="Times New Roman"/>
          <w:sz w:val="22"/>
        </w:rPr>
      </w:pPr>
      <w:r>
        <w:rPr>
          <w:rFonts w:ascii="Times New Roman" w:hAnsi="Times New Roman"/>
          <w:sz w:val="22"/>
        </w:rPr>
        <w:t xml:space="preserve">Cette édition électronique a été réalisée par Bertrand Gibier, bénévole, professeur de philosophie en France, </w:t>
      </w:r>
      <w:hyperlink r:id="rId10" w:history="1">
        <w:r>
          <w:rPr>
            <w:rStyle w:val="Collegamentoipertestuale"/>
            <w:rFonts w:ascii="Times New Roman" w:hAnsi="Times New Roman"/>
            <w:sz w:val="22"/>
          </w:rPr>
          <w:t>bertrand.gibier@ac-lille.fr</w:t>
        </w:r>
      </w:hyperlink>
      <w:r>
        <w:rPr>
          <w:rFonts w:ascii="Times New Roman" w:hAnsi="Times New Roman"/>
          <w:sz w:val="22"/>
        </w:rPr>
        <w:t xml:space="preserve"> ,</w:t>
      </w:r>
      <w:r>
        <w:rPr>
          <w:rFonts w:ascii="Times New Roman" w:hAnsi="Times New Roman"/>
          <w:sz w:val="22"/>
        </w:rPr>
        <w:br/>
        <w:t>à par</w:t>
      </w:r>
      <w:r>
        <w:rPr>
          <w:rFonts w:ascii="Times New Roman" w:hAnsi="Times New Roman"/>
          <w:sz w:val="22"/>
        </w:rPr>
        <w:t>tir de :</w:t>
      </w:r>
    </w:p>
    <w:p w:rsidR="00000000" w:rsidRDefault="00E270FF">
      <w:pPr>
        <w:widowControl w:val="0"/>
        <w:ind w:left="20" w:right="1800" w:hanging="20"/>
        <w:rPr>
          <w:rFonts w:ascii="Times New Roman" w:hAnsi="Times New Roman"/>
          <w:sz w:val="22"/>
        </w:rPr>
      </w:pPr>
    </w:p>
    <w:p w:rsidR="00000000" w:rsidRDefault="00E270FF">
      <w:pPr>
        <w:widowControl w:val="0"/>
        <w:ind w:left="20" w:right="1800" w:hanging="20"/>
        <w:rPr>
          <w:rFonts w:ascii="Times New Roman" w:hAnsi="Times New Roman"/>
          <w:sz w:val="22"/>
        </w:rPr>
      </w:pPr>
    </w:p>
    <w:p w:rsidR="00000000" w:rsidRDefault="00E270FF">
      <w:pPr>
        <w:ind w:right="1800"/>
        <w:jc w:val="both"/>
        <w:rPr>
          <w:rFonts w:ascii="Times New Roman" w:hAnsi="Times New Roman"/>
          <w:sz w:val="22"/>
        </w:rPr>
      </w:pPr>
    </w:p>
    <w:p w:rsidR="00000000" w:rsidRDefault="00E270FF">
      <w:pPr>
        <w:widowControl w:val="0"/>
        <w:tabs>
          <w:tab w:val="left" w:pos="360"/>
        </w:tabs>
        <w:ind w:left="360" w:hanging="360"/>
        <w:rPr>
          <w:rFonts w:ascii="Times New Roman" w:hAnsi="Times New Roman"/>
          <w:sz w:val="36"/>
        </w:rPr>
      </w:pPr>
      <w:r>
        <w:rPr>
          <w:rFonts w:ascii="Times New Roman" w:hAnsi="Times New Roman"/>
          <w:sz w:val="36"/>
        </w:rPr>
        <w:t>Henri Bergson (1915)</w:t>
      </w:r>
    </w:p>
    <w:p w:rsidR="00000000" w:rsidRDefault="00E270FF">
      <w:pPr>
        <w:widowControl w:val="0"/>
        <w:tabs>
          <w:tab w:val="left" w:pos="360"/>
        </w:tabs>
        <w:ind w:left="360" w:hanging="360"/>
        <w:rPr>
          <w:rFonts w:ascii="Times New Roman" w:hAnsi="Times New Roman"/>
        </w:rPr>
      </w:pPr>
    </w:p>
    <w:p w:rsidR="00000000" w:rsidRDefault="00E270FF">
      <w:pPr>
        <w:ind w:firstLine="0"/>
        <w:rPr>
          <w:sz w:val="36"/>
        </w:rPr>
      </w:pPr>
      <w:r>
        <w:rPr>
          <w:sz w:val="36"/>
        </w:rPr>
        <w:t>“ </w:t>
      </w:r>
      <w:r>
        <w:rPr>
          <w:color w:val="000080"/>
          <w:sz w:val="36"/>
        </w:rPr>
        <w:t>La philosophie française </w:t>
      </w:r>
      <w:r>
        <w:rPr>
          <w:sz w:val="36"/>
        </w:rPr>
        <w:t>”</w:t>
      </w:r>
    </w:p>
    <w:p w:rsidR="00000000" w:rsidRDefault="00E270FF">
      <w:pPr>
        <w:pStyle w:val="Niveau3"/>
        <w:widowControl w:val="0"/>
        <w:rPr>
          <w:rFonts w:ascii="Times New Roman" w:hAnsi="Times New Roman"/>
          <w:sz w:val="22"/>
        </w:rPr>
      </w:pPr>
    </w:p>
    <w:p w:rsidR="00000000" w:rsidRDefault="00E270FF">
      <w:pPr>
        <w:pStyle w:val="Niveau3"/>
        <w:widowControl w:val="0"/>
        <w:rPr>
          <w:rFonts w:ascii="Times New Roman" w:hAnsi="Times New Roman"/>
          <w:sz w:val="22"/>
        </w:rPr>
      </w:pPr>
    </w:p>
    <w:p w:rsidR="00000000" w:rsidRDefault="00E270FF">
      <w:pPr>
        <w:ind w:right="360"/>
        <w:jc w:val="both"/>
        <w:rPr>
          <w:rFonts w:ascii="Times New Roman" w:hAnsi="Times New Roman"/>
          <w:sz w:val="22"/>
        </w:rPr>
      </w:pPr>
      <w:r>
        <w:rPr>
          <w:rFonts w:ascii="Times New Roman" w:hAnsi="Times New Roman"/>
          <w:sz w:val="22"/>
        </w:rPr>
        <w:t>Une édition électronique réalisée à partir de l'article d’Henri Bergson (1915), “</w:t>
      </w:r>
      <w:r>
        <w:rPr>
          <w:rFonts w:ascii="Times New Roman" w:hAnsi="Times New Roman"/>
          <w:color w:val="FF0000"/>
          <w:sz w:val="22"/>
        </w:rPr>
        <w:t> La philosophie française </w:t>
      </w:r>
      <w:r>
        <w:rPr>
          <w:rFonts w:ascii="Times New Roman" w:hAnsi="Times New Roman"/>
          <w:sz w:val="22"/>
        </w:rPr>
        <w:t>”, article publié dans La Revue de Paris, livraison du 15 mai 1915, pp. 236-256. (Ta</w:t>
      </w:r>
      <w:r>
        <w:rPr>
          <w:rFonts w:ascii="Times New Roman" w:hAnsi="Times New Roman"/>
          <w:sz w:val="22"/>
        </w:rPr>
        <w:t>bleau récapitulatif destiné à l’Exposition de San Francisco)</w:t>
      </w:r>
    </w:p>
    <w:p w:rsidR="00000000" w:rsidRDefault="00E270FF">
      <w:pPr>
        <w:ind w:right="1800"/>
        <w:jc w:val="both"/>
        <w:rPr>
          <w:rFonts w:ascii="Times New Roman" w:hAnsi="Times New Roman"/>
          <w:sz w:val="22"/>
        </w:rPr>
      </w:pPr>
    </w:p>
    <w:p w:rsidR="00000000" w:rsidRDefault="00E270FF">
      <w:pPr>
        <w:ind w:right="1800"/>
        <w:jc w:val="both"/>
        <w:rPr>
          <w:rFonts w:ascii="Times New Roman" w:hAnsi="Times New Roman"/>
          <w:sz w:val="22"/>
        </w:rPr>
      </w:pPr>
    </w:p>
    <w:p w:rsidR="00000000" w:rsidRDefault="00E270FF">
      <w:pPr>
        <w:ind w:right="1800" w:firstLine="0"/>
        <w:jc w:val="both"/>
        <w:rPr>
          <w:rFonts w:ascii="Times New Roman" w:hAnsi="Times New Roman"/>
          <w:sz w:val="22"/>
        </w:rPr>
      </w:pPr>
      <w:r>
        <w:rPr>
          <w:rFonts w:ascii="Times New Roman" w:hAnsi="Times New Roman"/>
          <w:sz w:val="22"/>
        </w:rPr>
        <w:t>Polices de caractères utilisée :</w:t>
      </w:r>
    </w:p>
    <w:p w:rsidR="00000000" w:rsidRDefault="00E270FF">
      <w:pPr>
        <w:ind w:right="1800" w:firstLine="0"/>
        <w:jc w:val="both"/>
        <w:rPr>
          <w:rFonts w:ascii="Times New Roman" w:hAnsi="Times New Roman"/>
          <w:sz w:val="22"/>
        </w:rPr>
      </w:pPr>
    </w:p>
    <w:p w:rsidR="00000000" w:rsidRDefault="00E270FF">
      <w:pPr>
        <w:ind w:left="360" w:right="1800" w:firstLine="0"/>
        <w:jc w:val="both"/>
        <w:rPr>
          <w:rFonts w:ascii="Times New Roman" w:hAnsi="Times New Roman"/>
          <w:sz w:val="22"/>
        </w:rPr>
      </w:pPr>
      <w:r>
        <w:rPr>
          <w:rFonts w:ascii="Times New Roman" w:hAnsi="Times New Roman"/>
          <w:sz w:val="22"/>
        </w:rPr>
        <w:t>Pour le texte: Times, 12 points.</w:t>
      </w:r>
    </w:p>
    <w:p w:rsidR="00000000" w:rsidRDefault="00E270FF">
      <w:pPr>
        <w:ind w:left="360" w:right="1800" w:firstLine="0"/>
        <w:jc w:val="both"/>
        <w:rPr>
          <w:rFonts w:ascii="Times New Roman" w:hAnsi="Times New Roman"/>
          <w:sz w:val="22"/>
        </w:rPr>
      </w:pPr>
      <w:r>
        <w:rPr>
          <w:rFonts w:ascii="Times New Roman" w:hAnsi="Times New Roman"/>
          <w:sz w:val="22"/>
        </w:rPr>
        <w:t>Pour les notes de bas de page : Times, 10 points.</w:t>
      </w:r>
    </w:p>
    <w:p w:rsidR="00000000" w:rsidRDefault="00E270FF">
      <w:pPr>
        <w:ind w:left="360" w:right="1800" w:firstLine="0"/>
        <w:jc w:val="both"/>
        <w:rPr>
          <w:rFonts w:ascii="Times New Roman" w:hAnsi="Times New Roman"/>
          <w:sz w:val="22"/>
        </w:rPr>
      </w:pPr>
    </w:p>
    <w:p w:rsidR="00000000" w:rsidRDefault="00E270FF">
      <w:pPr>
        <w:ind w:left="360" w:right="1800" w:firstLine="0"/>
        <w:jc w:val="both"/>
        <w:rPr>
          <w:rFonts w:ascii="Times New Roman" w:hAnsi="Times New Roman"/>
          <w:sz w:val="22"/>
        </w:rPr>
      </w:pPr>
    </w:p>
    <w:p w:rsidR="00000000" w:rsidRDefault="00E270FF">
      <w:pPr>
        <w:ind w:right="360" w:firstLine="0"/>
        <w:jc w:val="both"/>
        <w:rPr>
          <w:rFonts w:ascii="Times New Roman" w:hAnsi="Times New Roman"/>
          <w:sz w:val="22"/>
        </w:rPr>
      </w:pPr>
      <w:r>
        <w:rPr>
          <w:rFonts w:ascii="Times New Roman" w:hAnsi="Times New Roman"/>
          <w:sz w:val="22"/>
        </w:rPr>
        <w:t xml:space="preserve">Édition électronique réalisée avec le traitement de textes Microsoft Word </w:t>
      </w:r>
      <w:r>
        <w:rPr>
          <w:rFonts w:ascii="Times New Roman" w:hAnsi="Times New Roman"/>
          <w:sz w:val="22"/>
        </w:rPr>
        <w:t>2001 pour Macintosh.</w:t>
      </w:r>
    </w:p>
    <w:p w:rsidR="00000000" w:rsidRDefault="00E270FF">
      <w:pPr>
        <w:ind w:right="1800" w:firstLine="0"/>
        <w:jc w:val="both"/>
        <w:rPr>
          <w:rFonts w:ascii="Times New Roman" w:hAnsi="Times New Roman"/>
          <w:sz w:val="22"/>
        </w:rPr>
      </w:pPr>
    </w:p>
    <w:p w:rsidR="00000000" w:rsidRDefault="00E270FF">
      <w:pPr>
        <w:ind w:right="1800" w:firstLine="0"/>
        <w:jc w:val="both"/>
        <w:rPr>
          <w:rFonts w:ascii="Times New Roman" w:hAnsi="Times New Roman"/>
          <w:sz w:val="22"/>
        </w:rPr>
      </w:pPr>
      <w:r>
        <w:rPr>
          <w:rFonts w:ascii="Times New Roman" w:hAnsi="Times New Roman"/>
          <w:sz w:val="22"/>
        </w:rPr>
        <w:t>Mise en page sur papier format</w:t>
      </w:r>
    </w:p>
    <w:p w:rsidR="00000000" w:rsidRDefault="00E270FF">
      <w:pPr>
        <w:ind w:right="1800" w:firstLine="0"/>
        <w:jc w:val="both"/>
        <w:rPr>
          <w:rFonts w:ascii="Times New Roman" w:hAnsi="Times New Roman"/>
          <w:sz w:val="22"/>
        </w:rPr>
      </w:pPr>
      <w:r>
        <w:rPr>
          <w:rFonts w:ascii="Times New Roman" w:hAnsi="Times New Roman"/>
          <w:sz w:val="22"/>
        </w:rPr>
        <w:t>LETTRE (US letter), 8.5’’ x 11’’)</w:t>
      </w:r>
    </w:p>
    <w:p w:rsidR="00000000" w:rsidRDefault="00E270FF">
      <w:pPr>
        <w:ind w:right="1800" w:firstLine="0"/>
        <w:jc w:val="both"/>
        <w:rPr>
          <w:rFonts w:ascii="Times New Roman" w:hAnsi="Times New Roman"/>
          <w:sz w:val="22"/>
        </w:rPr>
      </w:pPr>
    </w:p>
    <w:p w:rsidR="00000000" w:rsidRDefault="00E270FF">
      <w:pPr>
        <w:ind w:right="1800" w:firstLine="0"/>
        <w:jc w:val="both"/>
        <w:rPr>
          <w:rFonts w:ascii="Times New Roman" w:hAnsi="Times New Roman"/>
          <w:sz w:val="22"/>
        </w:rPr>
      </w:pPr>
      <w:r>
        <w:rPr>
          <w:rFonts w:ascii="Times New Roman" w:hAnsi="Times New Roman"/>
          <w:sz w:val="22"/>
        </w:rPr>
        <w:t>Édition complétée le 1</w:t>
      </w:r>
      <w:r>
        <w:rPr>
          <w:rFonts w:ascii="Times New Roman" w:hAnsi="Times New Roman"/>
          <w:sz w:val="22"/>
          <w:vertAlign w:val="superscript"/>
        </w:rPr>
        <w:t>er</w:t>
      </w:r>
      <w:r>
        <w:rPr>
          <w:rFonts w:ascii="Times New Roman" w:hAnsi="Times New Roman"/>
          <w:sz w:val="22"/>
        </w:rPr>
        <w:t xml:space="preserve"> novembre 2002 à Chicoutimi, Québec.</w:t>
      </w:r>
    </w:p>
    <w:p w:rsidR="00000000" w:rsidRDefault="00E270FF">
      <w:pPr>
        <w:ind w:right="1800" w:firstLine="0"/>
        <w:jc w:val="both"/>
        <w:rPr>
          <w:rFonts w:ascii="Times New Roman" w:hAnsi="Times New Roman"/>
          <w:sz w:val="22"/>
        </w:rPr>
      </w:pPr>
    </w:p>
    <w:p w:rsidR="00000000" w:rsidRDefault="00200E90">
      <w:pPr>
        <w:ind w:right="1800" w:firstLine="0"/>
        <w:jc w:val="both"/>
        <w:rPr>
          <w:rFonts w:ascii="Times New Roman" w:hAnsi="Times New Roman"/>
        </w:rPr>
      </w:pPr>
      <w:r>
        <w:rPr>
          <w:rFonts w:ascii="Times New Roman" w:hAnsi="Times New Roman"/>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E270FF">
      <w:pPr>
        <w:ind w:left="20"/>
        <w:jc w:val="both"/>
      </w:pPr>
      <w:r>
        <w:br w:type="page"/>
      </w:r>
    </w:p>
    <w:p w:rsidR="00000000" w:rsidRDefault="00E270FF">
      <w:pPr>
        <w:jc w:val="both"/>
        <w:rPr>
          <w:i/>
        </w:rPr>
      </w:pPr>
    </w:p>
    <w:p w:rsidR="00000000" w:rsidRDefault="00E270FF">
      <w:pPr>
        <w:jc w:val="both"/>
        <w:rPr>
          <w:i/>
        </w:rPr>
      </w:pPr>
    </w:p>
    <w:p w:rsidR="00000000" w:rsidRDefault="00E270FF">
      <w:pPr>
        <w:jc w:val="both"/>
        <w:rPr>
          <w:i/>
        </w:rPr>
      </w:pPr>
    </w:p>
    <w:p w:rsidR="00000000" w:rsidRDefault="00E270FF">
      <w:pPr>
        <w:jc w:val="both"/>
        <w:rPr>
          <w:i/>
        </w:rPr>
      </w:pPr>
    </w:p>
    <w:p w:rsidR="00000000" w:rsidRDefault="00E270FF">
      <w:pPr>
        <w:jc w:val="both"/>
        <w:rPr>
          <w:i/>
        </w:rPr>
      </w:pPr>
    </w:p>
    <w:p w:rsidR="00000000" w:rsidRDefault="00E270FF">
      <w:pPr>
        <w:jc w:val="both"/>
      </w:pPr>
    </w:p>
    <w:p w:rsidR="00000000" w:rsidRDefault="00E270FF">
      <w:pPr>
        <w:jc w:val="both"/>
      </w:pPr>
      <w:r>
        <w:t>Henri BERGSON</w:t>
      </w:r>
    </w:p>
    <w:p w:rsidR="00000000" w:rsidRDefault="00E270FF">
      <w:pPr>
        <w:jc w:val="both"/>
      </w:pPr>
    </w:p>
    <w:p w:rsidR="00000000" w:rsidRDefault="00E270FF">
      <w:pPr>
        <w:jc w:val="both"/>
      </w:pPr>
      <w:r>
        <w:t>“ LA PHILOSOPHIE FRANÇAISE”  </w:t>
      </w:r>
      <w:r>
        <w:rPr>
          <w:rStyle w:val="Rimandonotaapidipagina"/>
        </w:rPr>
        <w:footnoteReference w:id="1"/>
      </w:r>
    </w:p>
    <w:p w:rsidR="00000000" w:rsidRDefault="00E270FF">
      <w:pPr>
        <w:jc w:val="both"/>
      </w:pPr>
    </w:p>
    <w:p w:rsidR="00000000" w:rsidRDefault="00E270FF">
      <w:pPr>
        <w:jc w:val="both"/>
      </w:pPr>
      <w:r>
        <w:t>(</w:t>
      </w:r>
      <w:r>
        <w:rPr>
          <w:i/>
        </w:rPr>
        <w:t xml:space="preserve">Tableau récapitulatif destiné à l’Exposition de </w:t>
      </w:r>
      <w:r>
        <w:rPr>
          <w:i/>
        </w:rPr>
        <w:t>San Francisco</w:t>
      </w:r>
      <w:r>
        <w:t>)</w:t>
      </w:r>
    </w:p>
    <w:p w:rsidR="00000000" w:rsidRDefault="00E270FF">
      <w:pPr>
        <w:jc w:val="both"/>
      </w:pPr>
    </w:p>
    <w:p w:rsidR="00000000" w:rsidRDefault="00E270FF">
      <w:pPr>
        <w:jc w:val="both"/>
      </w:pPr>
      <w:r>
        <w:rPr>
          <w:i/>
        </w:rPr>
        <w:t>La Revue de Paris</w:t>
      </w:r>
      <w:r>
        <w:t>, livraison du 15 mai 1915, pp. 236-256.</w:t>
      </w: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jc w:val="both"/>
      </w:pPr>
    </w:p>
    <w:p w:rsidR="00000000" w:rsidRDefault="00E270FF">
      <w:pPr>
        <w:pStyle w:val="Rientrocorpodeltesto2"/>
        <w:spacing w:line="300" w:lineRule="exact"/>
        <w:rPr>
          <w:rFonts w:ascii="Times" w:hAnsi="Times"/>
        </w:rPr>
      </w:pPr>
      <w:r>
        <w:rPr>
          <w:rFonts w:ascii="Times" w:hAnsi="Times"/>
        </w:rPr>
        <w:t>Le rôle de la France dans l’évolution de la philosophie moderne est bien net : la France a été la grande initiatrice. Ailleurs ont surgi également, sans doute, des philo</w:t>
      </w:r>
      <w:r>
        <w:rPr>
          <w:rFonts w:ascii="Times" w:hAnsi="Times"/>
        </w:rPr>
        <w:t xml:space="preserve">sophes de génie ; mais nulle part il n’y a eu, comme en France, continuité ininterrompue de création philosophique originale. Ailleurs on a pu aller plus loin dans le développement de telle ou telle idée, construire plus systématiquement avec tels ou tels </w:t>
      </w:r>
      <w:r>
        <w:rPr>
          <w:rFonts w:ascii="Times" w:hAnsi="Times"/>
        </w:rPr>
        <w:t>matériaux, donner plus d’extension à telle ou telle méthode ; mais bien souvent les matériaux, les idées, la méthode étaient venus de France. Il ne peut être question ici d’énumérer toutes les doctrines, ni de citer tous les noms. Nous ferons un choix ; pu</w:t>
      </w:r>
      <w:r>
        <w:rPr>
          <w:rFonts w:ascii="Times" w:hAnsi="Times"/>
        </w:rPr>
        <w:t>is nous tâche</w:t>
      </w:r>
      <w:r>
        <w:rPr>
          <w:rFonts w:ascii="Times" w:hAnsi="Times"/>
        </w:rPr>
        <w:softHyphen/>
        <w:t>rons de démêler les traits caractéristiques de la pensée philosophique française. Nous verrons pourquoi elle est restée créatrice, et à quoi tient sa puissance de rayonnement.</w:t>
      </w:r>
    </w:p>
    <w:p w:rsidR="00000000" w:rsidRDefault="00E270FF">
      <w:pPr>
        <w:spacing w:line="300" w:lineRule="exact"/>
        <w:jc w:val="both"/>
      </w:pPr>
      <w:r>
        <w:br w:type="page"/>
      </w:r>
    </w:p>
    <w:p w:rsidR="00000000" w:rsidRDefault="00E270FF">
      <w:pPr>
        <w:spacing w:line="300" w:lineRule="exact"/>
        <w:jc w:val="both"/>
      </w:pPr>
    </w:p>
    <w:p w:rsidR="00000000" w:rsidRDefault="00E270FF">
      <w:pPr>
        <w:spacing w:line="300" w:lineRule="exact"/>
        <w:jc w:val="both"/>
      </w:pPr>
    </w:p>
    <w:p w:rsidR="00000000" w:rsidRDefault="00E270FF">
      <w:pPr>
        <w:pStyle w:val="Titolo"/>
        <w:rPr>
          <w:rFonts w:ascii="Times New Roman" w:hAnsi="Times New Roman"/>
          <w:b/>
        </w:rPr>
      </w:pPr>
      <w:r>
        <w:rPr>
          <w:rFonts w:ascii="Times New Roman" w:hAnsi="Times New Roman"/>
          <w:b/>
        </w:rPr>
        <w:t>I</w:t>
      </w: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r>
        <w:t>Toute la philosophie moderne dérive de Descartes </w:t>
      </w:r>
      <w:r>
        <w:rPr>
          <w:rStyle w:val="Rimandonotaapidipagina"/>
        </w:rPr>
        <w:footnoteReference w:id="2"/>
      </w:r>
      <w:r>
        <w:t xml:space="preserve">. Nous </w:t>
      </w:r>
      <w:r>
        <w:t>n’essaierons pas de résumer sa doctrine : chaque progrès de la science et de la philosophie permet d’y découvrir quelque chose de nouveau, de sorte que nous compare</w:t>
      </w:r>
      <w:r>
        <w:softHyphen/>
        <w:t>rions volontiers cette œuvre aux œuvres de la nature, dont l’analyse ne sera jamais terminé</w:t>
      </w:r>
      <w:r>
        <w:t>e. Mais de même que l’anatomiste fait dans un organe ou dans un tissu une série de coupes qu’il étudie tour à tour, ainsi nous allons couper l’œuvre de Descartes par des plans parallèles situés les uns au-dessous des autres, pour obtenir d’elle, successive</w:t>
      </w:r>
      <w:r>
        <w:t>ment, des vues de plus en plus pro</w:t>
      </w:r>
      <w:r>
        <w:softHyphen/>
        <w:t>fondes.</w:t>
      </w:r>
    </w:p>
    <w:p w:rsidR="00000000" w:rsidRDefault="00E270FF">
      <w:pPr>
        <w:spacing w:line="300" w:lineRule="exact"/>
        <w:jc w:val="both"/>
      </w:pPr>
    </w:p>
    <w:p w:rsidR="00000000" w:rsidRDefault="00E270FF">
      <w:pPr>
        <w:spacing w:line="300" w:lineRule="exact"/>
        <w:jc w:val="both"/>
      </w:pPr>
      <w:r>
        <w:t xml:space="preserve">Une première coupe révèle dans le cartésianisme la philosophie des idées « claires et distinctes », celle qui a définitivement délivré la pensée moderne du joug de l’autorité pour ne plus admettre d’autre marque </w:t>
      </w:r>
      <w:r>
        <w:t>de la vérité que l’évidence.</w:t>
      </w:r>
    </w:p>
    <w:p w:rsidR="00000000" w:rsidRDefault="00E270FF">
      <w:pPr>
        <w:spacing w:line="300" w:lineRule="exact"/>
        <w:jc w:val="both"/>
      </w:pPr>
    </w:p>
    <w:p w:rsidR="00000000" w:rsidRDefault="00E270FF">
      <w:pPr>
        <w:spacing w:line="300" w:lineRule="exact"/>
        <w:jc w:val="both"/>
      </w:pPr>
      <w:r>
        <w:t>Un peu plus bas, en creusant la signification des termes « évidence », « clarté », « distinction », on trouve une théorie de la méthode. Descartes, en inventant une géométrie nouvelle, a analysé l’acte de création mathématique</w:t>
      </w:r>
      <w:r>
        <w:t>. Il décrit les conditions de cette création. Il apporte ainsi des procédés géné</w:t>
      </w:r>
      <w:r>
        <w:softHyphen/>
        <w:t>raux de recherche, qui lui ont été suggérés par sa géométrie.</w:t>
      </w:r>
    </w:p>
    <w:p w:rsidR="00000000" w:rsidRDefault="00E270FF">
      <w:pPr>
        <w:spacing w:line="300" w:lineRule="exact"/>
        <w:jc w:val="both"/>
      </w:pPr>
    </w:p>
    <w:p w:rsidR="00000000" w:rsidRDefault="00E270FF">
      <w:pPr>
        <w:spacing w:line="300" w:lineRule="exact"/>
        <w:jc w:val="both"/>
      </w:pPr>
      <w:r>
        <w:t>En approfondissant à son tour cette extension de la géométrie, on arrive à une théorie générale de la nature, co</w:t>
      </w:r>
      <w:r>
        <w:t>nsidérée comme un immense mécanisme régi par des lois mathématiques. Descartes a donc fourni à la physique moder</w:t>
      </w:r>
      <w:r>
        <w:softHyphen/>
        <w:t>ne son cadre, le plan sur lequel elle n’a jamais cessé de travailler, en même temps qu’il a apporté le type de toute conception mécanistique de</w:t>
      </w:r>
      <w:r>
        <w:t xml:space="preserve"> l’univers.</w:t>
      </w:r>
    </w:p>
    <w:p w:rsidR="00000000" w:rsidRDefault="00E270FF">
      <w:pPr>
        <w:spacing w:line="300" w:lineRule="exact"/>
        <w:jc w:val="both"/>
      </w:pPr>
    </w:p>
    <w:p w:rsidR="00000000" w:rsidRDefault="00E270FF">
      <w:pPr>
        <w:spacing w:line="300" w:lineRule="exact"/>
        <w:jc w:val="both"/>
      </w:pPr>
      <w:r>
        <w:t>Au-dessous de cette philosophie de la nature on trouverait maintenant une théorie de l’esprit ou, comme dit Descartes, de la « pensée », un effort pour résoudre la pensée en éléments simples : cet effort a ouvert la voie aux recher</w:t>
      </w:r>
      <w:r>
        <w:softHyphen/>
        <w:t>ches de Loc</w:t>
      </w:r>
      <w:r>
        <w:t xml:space="preserve">ke et de Condillac. On trouverait surtout cette idée que la pensée </w:t>
      </w:r>
      <w:r>
        <w:lastRenderedPageBreak/>
        <w:t>existe d’abord, que la matière est donnée par surcroît et pourrait, à la rigueur, n’exister que comme représentation de l’esprit. Tout l’idéalisme moderne est sorti de là, en particulier l’</w:t>
      </w:r>
      <w:r>
        <w:t>idéalisme allemand.</w:t>
      </w:r>
    </w:p>
    <w:p w:rsidR="00000000" w:rsidRDefault="00E270FF">
      <w:pPr>
        <w:spacing w:line="300" w:lineRule="exact"/>
        <w:jc w:val="both"/>
      </w:pPr>
    </w:p>
    <w:p w:rsidR="00000000" w:rsidRDefault="00E270FF">
      <w:pPr>
        <w:spacing w:line="300" w:lineRule="exact"/>
        <w:jc w:val="both"/>
      </w:pPr>
      <w:r>
        <w:t>Enfin, au fond de la théorie cartésienne de la pensée, il y a un nouvel effort pour ramener la pensée, au moins partiellement, à la volonté. Les philo</w:t>
      </w:r>
      <w:r>
        <w:softHyphen/>
        <w:t>sophies « volontaristes » du XIX</w:t>
      </w:r>
      <w:r>
        <w:rPr>
          <w:vertAlign w:val="superscript"/>
        </w:rPr>
        <w:t>e</w:t>
      </w:r>
      <w:r>
        <w:t xml:space="preserve"> siècle se rattachent ainsi à Descartes. Ce n’est p</w:t>
      </w:r>
      <w:r>
        <w:t>as sans raison qu’on a vu dans le cartésianisme une « philosophie de la liberté ».</w:t>
      </w:r>
    </w:p>
    <w:p w:rsidR="00000000" w:rsidRDefault="00E270FF">
      <w:pPr>
        <w:spacing w:line="300" w:lineRule="exact"/>
        <w:jc w:val="both"/>
      </w:pPr>
    </w:p>
    <w:p w:rsidR="00000000" w:rsidRDefault="00E270FF">
      <w:pPr>
        <w:spacing w:line="300" w:lineRule="exact"/>
        <w:jc w:val="both"/>
      </w:pPr>
      <w:r>
        <w:t>À Descartes remontent donc les principales doctrines de la philosophie moderne. D’autre part, quoique le cartésianisme offre des ressemblances de détail avec telles ou tell</w:t>
      </w:r>
      <w:r>
        <w:t>es doctrines de l’antiquité ou du moyen âge, il ne doit rien d’essentiel à aucune d’elles. Le mathématicien et physicien Biot a dit de la géométrie de Descartes : « </w:t>
      </w:r>
      <w:r>
        <w:rPr>
          <w:i/>
        </w:rPr>
        <w:t>proles sine matre creata</w:t>
      </w:r>
      <w:r>
        <w:t> ». Nous en dirions autant de sa philosophie.</w:t>
      </w:r>
    </w:p>
    <w:p w:rsidR="00000000" w:rsidRDefault="00E270FF">
      <w:pPr>
        <w:spacing w:line="300" w:lineRule="exact"/>
        <w:jc w:val="both"/>
      </w:pPr>
    </w:p>
    <w:p w:rsidR="00000000" w:rsidRDefault="00E270FF">
      <w:pPr>
        <w:spacing w:line="300" w:lineRule="exact"/>
        <w:ind w:firstLine="0"/>
        <w:jc w:val="center"/>
      </w:pPr>
      <w:r>
        <w:t>*</w:t>
      </w:r>
    </w:p>
    <w:p w:rsidR="00000000" w:rsidRDefault="00E270FF">
      <w:pPr>
        <w:spacing w:line="300" w:lineRule="exact"/>
        <w:ind w:firstLine="0"/>
        <w:jc w:val="center"/>
      </w:pPr>
      <w:r>
        <w:t>*  *</w:t>
      </w:r>
    </w:p>
    <w:p w:rsidR="00000000" w:rsidRDefault="00E270FF">
      <w:pPr>
        <w:spacing w:line="300" w:lineRule="exact"/>
        <w:jc w:val="both"/>
      </w:pPr>
    </w:p>
    <w:p w:rsidR="00000000" w:rsidRDefault="00E270FF">
      <w:pPr>
        <w:spacing w:line="300" w:lineRule="exact"/>
        <w:jc w:val="both"/>
      </w:pPr>
      <w:r>
        <w:t>Si toutes le</w:t>
      </w:r>
      <w:r>
        <w:t xml:space="preserve">s tendances de la philosophie moderne coexistent chez Descartes, c’est le rationalisme qui prédomine, comme il devait dominer la pensée des siècles suivants. Mais à côté ou plutôt au-dessous de la tendance rationaliste, recouvert, et souvent dissimulé par </w:t>
      </w:r>
      <w:r>
        <w:t>elle, il y a un autre courant qui traverse la philosophie moderne. C’est celui qu’on pourrait appeler sentimen</w:t>
      </w:r>
      <w:r>
        <w:softHyphen/>
        <w:t>tal, à condition de prendre le mot « sentiment » dans l’acception que lui don</w:t>
      </w:r>
      <w:r>
        <w:softHyphen/>
        <w:t>nait le XVII</w:t>
      </w:r>
      <w:r>
        <w:rPr>
          <w:vertAlign w:val="superscript"/>
        </w:rPr>
        <w:t>e</w:t>
      </w:r>
      <w:r>
        <w:t xml:space="preserve"> siècle, et d’y comprendre toute connaissance immédiat</w:t>
      </w:r>
      <w:r>
        <w:t>e et intuitive. Or ce second courant dérive, comme le premier, d’un philosophe français. Pascal </w:t>
      </w:r>
      <w:r>
        <w:rPr>
          <w:rStyle w:val="Rimandonotaapidipagina"/>
          <w:sz w:val="24"/>
        </w:rPr>
        <w:footnoteReference w:id="3"/>
      </w:r>
      <w:r>
        <w:t xml:space="preserve"> a introduit en philosophie une certaine manière de penser qui n’est pas la pure raison, puisqu’elle corrige par l’ « esprit de finesse » ce que le raisonnemen</w:t>
      </w:r>
      <w:r>
        <w:t>t a de géométrique, et qui n’est pas non plus la contempla</w:t>
      </w:r>
      <w:r>
        <w:softHyphen/>
        <w:t>tion mystique, puisqu’elle aboutit à des résultats susceptibles d’être contrôlés et vérifiés par tout le monde. On trouverait, en rétablissant les anneaux inter</w:t>
      </w:r>
      <w:r>
        <w:softHyphen/>
        <w:t xml:space="preserve">médiaires de la chaîne, qu’à Pascal </w:t>
      </w:r>
      <w:r>
        <w:t>se rattachent les doctrines modernes qui font passer en première ligne la connaissance immédiate, l’intuition, la vie intérieure, comme à Descartes (malgré les velléités d’intuition qu’on rencontre dans le cartésianisme lui-même) se rattachent, plus partic</w:t>
      </w:r>
      <w:r>
        <w:t>ulièrement les philo</w:t>
      </w:r>
      <w:r>
        <w:softHyphen/>
        <w:t xml:space="preserve">sophies de la raison pure. Nous ne pouvons entreprendre ce travail. Bornons-nous à constater que Descartes et Pascal sont les grands représentants des </w:t>
      </w:r>
      <w:r>
        <w:lastRenderedPageBreak/>
        <w:t>deux formes ou méthodes de pensée entre lesquelles se partage l’esprit moderne.</w:t>
      </w:r>
    </w:p>
    <w:p w:rsidR="00000000" w:rsidRDefault="00E270FF">
      <w:pPr>
        <w:spacing w:line="300" w:lineRule="exact"/>
        <w:jc w:val="both"/>
      </w:pPr>
    </w:p>
    <w:p w:rsidR="00000000" w:rsidRDefault="00E270FF">
      <w:pPr>
        <w:spacing w:line="300" w:lineRule="exact"/>
        <w:jc w:val="both"/>
      </w:pPr>
      <w:r>
        <w:t>L’u</w:t>
      </w:r>
      <w:r>
        <w:t>n et l’autre ont rompu avec la métaphysique des Grecs. Mais l’esprit humain ne renonce pas facilement à ce dont il a fait sa nourriture pendant bien des siècles. La philosophie grecque avait alimenté le moyen âge, grâce à Aristote. Elle avait imprégné la R</w:t>
      </w:r>
      <w:r>
        <w:t>enaissance, grâce surtout à Platon. Il était naturel qu’on cherchât, après Descartes, à l’utiliser en la rapprochant du cartésianisme. On devait y être porté par la tendance même des philosophes à mettre leur pensée sous une forme systématique, car le « sy</w:t>
      </w:r>
      <w:r>
        <w:t>stème » par excellence est celui qui a été, préparé par Platon et Aristote, définitivement constitué et consolidé par les néo-platoniciens ; et il serait aisé de montrer (nous ne pouvons entrer dans le détail de cette démonstration) que toute tentative pou</w:t>
      </w:r>
      <w:r>
        <w:t>r bâtir un système s’inspire par quelque côté de l’aristotélisme, du platonisme ou du néo-platonisme. De fait, les deux doctrines métaphysi</w:t>
      </w:r>
      <w:r>
        <w:softHyphen/>
        <w:t>ques qui surgirent hors de France dans la seconde moitié du XVII</w:t>
      </w:r>
      <w:r>
        <w:rPr>
          <w:vertAlign w:val="superscript"/>
        </w:rPr>
        <w:t>e</w:t>
      </w:r>
      <w:r>
        <w:t xml:space="preserve"> siècle furent des combinaisons du cartésianisme av</w:t>
      </w:r>
      <w:r>
        <w:t xml:space="preserve">ec la philosophie grecque. La philosophie de Spinoza, si originale soit-elle, aboutit à fondre ensemble la métaphysique de Descartes et l’aristotélisme des docteurs juifs. Celle de Leibniz, dont nous ne méconnaissons pas non plus l’originalité, est encore </w:t>
      </w:r>
      <w:r>
        <w:t>une combinaison du cartésianisme avec l’aristotélisme, surtout avec l’aristotélisme des néo-platoniciens. Pour des raisons que nous indiquerons tout à l’heure, la philosophie française n’a jamais eu beaucoup de goût pour les grandes cons</w:t>
      </w:r>
      <w:r>
        <w:softHyphen/>
        <w:t>tructions métaphys</w:t>
      </w:r>
      <w:r>
        <w:t>iques ; mais quand il lui a plu d’entreprendre des spécula</w:t>
      </w:r>
      <w:r>
        <w:softHyphen/>
        <w:t>tions de ce genre, elle a montré ce qu’elle était capable de faire, et avec quelle facilité elle le faisait. Tandis que Spinoza et Leibniz construisaient leur système, Malebranche </w:t>
      </w:r>
      <w:r>
        <w:rPr>
          <w:rStyle w:val="Rimandonotaapidipagina"/>
        </w:rPr>
        <w:footnoteReference w:id="4"/>
      </w:r>
      <w:r>
        <w:t xml:space="preserve"> avait le sien. </w:t>
      </w:r>
      <w:r>
        <w:t xml:space="preserve">Lui aussi avait combiné le cartésianisme avec la métaphysique des Grecs (plus particulièrement avec le platonisme des Pères de l’Église). Le monument qu’il a élevé est un modèle du genre. Mais il y a en même temps chez Malebranche toute une psychologie et </w:t>
      </w:r>
      <w:r>
        <w:t>toute une morale qui conservent leur valeur, même si l’on ne se rallie pas à sa métaphy</w:t>
      </w:r>
      <w:r>
        <w:softHyphen/>
        <w:t>sique. Là est une des marques de la philosophie française : si elle consent parfois à devenir systématique, elle ne fait pas de sacrifice à l’esprit de système ; elle n</w:t>
      </w:r>
      <w:r>
        <w:t>e déforme pas à tel point les éléments de la réalité qu’on ne puisse utiliser les matériaux de la construction en dehors de la construction même. Les morceaux en sont toujours bons.</w:t>
      </w: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ind w:firstLine="0"/>
        <w:jc w:val="center"/>
      </w:pPr>
      <w:r>
        <w:t>*</w:t>
      </w:r>
    </w:p>
    <w:p w:rsidR="00000000" w:rsidRDefault="00E270FF">
      <w:pPr>
        <w:spacing w:line="300" w:lineRule="exact"/>
        <w:ind w:firstLine="0"/>
        <w:jc w:val="center"/>
      </w:pPr>
      <w:r>
        <w:t>*  *</w:t>
      </w: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r>
        <w:t>Descartes, Pascal, Malebranche, tels sont les trois grands r</w:t>
      </w:r>
      <w:r>
        <w:t>eprésentants de la philosophie française au XVII</w:t>
      </w:r>
      <w:r>
        <w:rPr>
          <w:vertAlign w:val="superscript"/>
        </w:rPr>
        <w:t>e</w:t>
      </w:r>
      <w:r>
        <w:t xml:space="preserve"> siècle. Ils ont fourni trois types de doctrines que nous rencontrons dans les temps modernes.</w:t>
      </w:r>
    </w:p>
    <w:p w:rsidR="00000000" w:rsidRDefault="00E270FF">
      <w:pPr>
        <w:spacing w:line="300" w:lineRule="exact"/>
        <w:jc w:val="both"/>
      </w:pPr>
    </w:p>
    <w:p w:rsidR="00000000" w:rsidRDefault="00E270FF">
      <w:pPr>
        <w:spacing w:line="300" w:lineRule="exact"/>
        <w:jc w:val="both"/>
      </w:pPr>
      <w:r>
        <w:t>Essentiellement créatrice fut encore la philosophie française du XVIII</w:t>
      </w:r>
      <w:r>
        <w:rPr>
          <w:vertAlign w:val="superscript"/>
        </w:rPr>
        <w:t>e</w:t>
      </w:r>
      <w:r>
        <w:t xml:space="preserve"> siècle. Mais, ici encore, nous devons r</w:t>
      </w:r>
      <w:r>
        <w:t>enoncer à entrer dans le détail. Disons un mot des théories les plus importantes et citons les principaux noms.</w:t>
      </w:r>
    </w:p>
    <w:p w:rsidR="00000000" w:rsidRDefault="00E270FF">
      <w:pPr>
        <w:spacing w:line="300" w:lineRule="exact"/>
        <w:jc w:val="both"/>
      </w:pPr>
    </w:p>
    <w:p w:rsidR="00000000" w:rsidRDefault="00E270FF">
      <w:pPr>
        <w:spacing w:line="300" w:lineRule="exact"/>
        <w:jc w:val="both"/>
      </w:pPr>
      <w:r>
        <w:t>On commence seulement à rendre à Lamarck </w:t>
      </w:r>
      <w:r>
        <w:rPr>
          <w:rStyle w:val="Rimandonotaapidipagina"/>
        </w:rPr>
        <w:footnoteReference w:id="5"/>
      </w:r>
      <w:r>
        <w:t xml:space="preserve"> la justice qui lui est due. Ce naturaliste, qui fut aussi un philosophe, est le véritable créateur d</w:t>
      </w:r>
      <w:r>
        <w:t>e l’évolu</w:t>
      </w:r>
      <w:r>
        <w:softHyphen/>
        <w:t>tionisme biologique. Il est le premier qui ait conçu nettement, et poussé jusqu’au bout, l’idée de faire sortir les espèces les unes des autres par voie de transformation. La gloire de Darwin n’en est pas diminuée. Darwin a serré de plus près les</w:t>
      </w:r>
      <w:r>
        <w:t xml:space="preserve"> faits ; il a surtout découvert le rôle de la concurrence et de la sélection. Mais concurrence et sélection expliquent comment certaines varia</w:t>
      </w:r>
      <w:r>
        <w:softHyphen/>
        <w:t xml:space="preserve">tions se conservent ; elles ne rendent pas compte — Darwin le disait lui-même — des causes de la variation. Bien </w:t>
      </w:r>
      <w:r>
        <w:t>avant Darwin, (puisque ses recherches datent de la fin du XVIII</w:t>
      </w:r>
      <w:r>
        <w:rPr>
          <w:vertAlign w:val="superscript"/>
        </w:rPr>
        <w:t>e</w:t>
      </w:r>
      <w:r>
        <w:t xml:space="preserve"> siècle et du commencement du XIX</w:t>
      </w:r>
      <w:r>
        <w:rPr>
          <w:vertAlign w:val="superscript"/>
        </w:rPr>
        <w:t>e</w:t>
      </w:r>
      <w:r>
        <w:t>), Lamarck avait affirmé avec la même netteté la transformation des espèces, et il avait essayé, en outre, d’en déterminer les causes. Plus d’un naturaliste r</w:t>
      </w:r>
      <w:r>
        <w:t>evient aujourd’hui à Lamarck, soit pour combiner ensemble lamarckisme et darwi</w:t>
      </w:r>
      <w:r>
        <w:softHyphen/>
        <w:t>nisme, soit même pour remplacer le darwinisme par un lamarckisme perfec</w:t>
      </w:r>
      <w:r>
        <w:softHyphen/>
        <w:t>tionné. C’est dire que la France a fourni à la science et à la philosophie, au XVIII</w:t>
      </w:r>
      <w:r>
        <w:rPr>
          <w:vertAlign w:val="superscript"/>
        </w:rPr>
        <w:t>e</w:t>
      </w:r>
      <w:r>
        <w:t xml:space="preserve"> siècle, le grand pr</w:t>
      </w:r>
      <w:r>
        <w:t>incipe d’explication du monde organisé, comme, au siècle précédent, avec Descartes, elle leur avait apporté le plan d’explication de la nature inorganique.</w:t>
      </w:r>
    </w:p>
    <w:p w:rsidR="00000000" w:rsidRDefault="00E270FF">
      <w:pPr>
        <w:spacing w:line="300" w:lineRule="exact"/>
        <w:jc w:val="both"/>
      </w:pPr>
    </w:p>
    <w:p w:rsidR="00000000" w:rsidRDefault="00E270FF">
      <w:pPr>
        <w:spacing w:line="300" w:lineRule="exact"/>
        <w:jc w:val="both"/>
      </w:pPr>
      <w:r>
        <w:t>Les recherches et les réflexions de Lamarck avaient d’ailleurs été prépa</w:t>
      </w:r>
      <w:r>
        <w:softHyphen/>
        <w:t>rées en France par beaucou</w:t>
      </w:r>
      <w:r>
        <w:t>p de travaux originaux sur la nature et la vie. Bornons-nous à rappeler les noms de Buffon </w:t>
      </w:r>
      <w:r>
        <w:rPr>
          <w:rStyle w:val="Rimandonotaapidipagina"/>
        </w:rPr>
        <w:footnoteReference w:id="6"/>
      </w:r>
      <w:r>
        <w:t xml:space="preserve"> et de Bonnet </w:t>
      </w:r>
      <w:r>
        <w:rPr>
          <w:rStyle w:val="Rimandonotaapidipagina"/>
        </w:rPr>
        <w:footnoteReference w:id="7"/>
      </w:r>
      <w:r>
        <w:t>.</w:t>
      </w:r>
    </w:p>
    <w:p w:rsidR="00000000" w:rsidRDefault="00E270FF">
      <w:pPr>
        <w:spacing w:line="300" w:lineRule="exact"/>
        <w:jc w:val="both"/>
      </w:pPr>
    </w:p>
    <w:p w:rsidR="00000000" w:rsidRDefault="00E270FF">
      <w:pPr>
        <w:spacing w:line="300" w:lineRule="exact"/>
        <w:jc w:val="both"/>
      </w:pPr>
      <w:r>
        <w:t>D’une manière générale, les penseurs français du XVIII</w:t>
      </w:r>
      <w:r>
        <w:rPr>
          <w:vertAlign w:val="superscript"/>
        </w:rPr>
        <w:t>e</w:t>
      </w:r>
      <w:r>
        <w:t xml:space="preserve"> siècle ont fourni les éléments de certaines théories de la nature qui devaient se constitu</w:t>
      </w:r>
      <w:r>
        <w:t xml:space="preserve">er au </w:t>
      </w:r>
      <w:r>
        <w:lastRenderedPageBreak/>
        <w:t>siècle suivant. Nous venons de parler du problème de l’origine des espèces. Celui de la relation de l’esprit à la matière, abordé dans un sens plutôt maté</w:t>
      </w:r>
      <w:r>
        <w:softHyphen/>
        <w:t>rialiste, fut posé cependant par les philosophes français du XVIII</w:t>
      </w:r>
      <w:r>
        <w:rPr>
          <w:vertAlign w:val="superscript"/>
        </w:rPr>
        <w:t>e</w:t>
      </w:r>
      <w:r>
        <w:t xml:space="preserve"> siècle avec une précision t</w:t>
      </w:r>
      <w:r>
        <w:t>elle qu’il appelait aussi bien, dès lors, d’autres solutions. Il faut citer ici les noms de La Mettrie </w:t>
      </w:r>
      <w:r>
        <w:rPr>
          <w:rStyle w:val="Rimandonotaapidipagina"/>
        </w:rPr>
        <w:footnoteReference w:id="8"/>
      </w:r>
      <w:r>
        <w:t>, de Cabanis </w:t>
      </w:r>
      <w:r>
        <w:rPr>
          <w:rStyle w:val="Rimandonotaapidipagina"/>
        </w:rPr>
        <w:footnoteReference w:id="9"/>
      </w:r>
      <w:r>
        <w:t>, etc., et encore celui de Charles Bonnet.</w:t>
      </w:r>
    </w:p>
    <w:p w:rsidR="00000000" w:rsidRDefault="00E270FF">
      <w:pPr>
        <w:spacing w:line="300" w:lineRule="exact"/>
        <w:jc w:val="both"/>
      </w:pPr>
    </w:p>
    <w:p w:rsidR="00000000" w:rsidRDefault="00E270FF">
      <w:pPr>
        <w:spacing w:line="300" w:lineRule="exact"/>
        <w:jc w:val="both"/>
      </w:pPr>
      <w:r>
        <w:t>On montrerait sans peine que leurs recherches sont à l’origine de la psycho-physiologie qui s’</w:t>
      </w:r>
      <w:r>
        <w:t>est développée pendant le XIX</w:t>
      </w:r>
      <w:r>
        <w:rPr>
          <w:vertAlign w:val="superscript"/>
        </w:rPr>
        <w:t>e</w:t>
      </w:r>
      <w:r>
        <w:t xml:space="preserve"> siècle. Mais la psychologie elle-même, entendue comme une idéologie, c’est-à-dire comme une reconstruction de l’esprit avec des éléments simples, — la psychologie telle que l’a comprise l’école « associationiste » du siècle d</w:t>
      </w:r>
      <w:r>
        <w:t>ernier, — est sortie, en partie, des travaux français du XVIII</w:t>
      </w:r>
      <w:r>
        <w:rPr>
          <w:vertAlign w:val="superscript"/>
        </w:rPr>
        <w:t>e</w:t>
      </w:r>
      <w:r>
        <w:t xml:space="preserve"> siècle, notamment de ceux de Condillac. Il est juste de reconnaître que les Anglais y ont contribué pour une part plus large encore, et que la doctrine de Locke n’avait pas été sans influence </w:t>
      </w:r>
      <w:r>
        <w:t>sur l’idéologie française. Mais Locke n’avait-il pas été influencé lui-même par Descartes ? Anticipant sur ce que nous aurons à dire du XIX</w:t>
      </w:r>
      <w:r>
        <w:rPr>
          <w:vertAlign w:val="superscript"/>
        </w:rPr>
        <w:t>e</w:t>
      </w:r>
      <w:r>
        <w:t xml:space="preserve"> siècle, nous pouvons dès maintenant faire remarquer que l’œuvre psychologique de Taine, son analyse de l’intelligen</w:t>
      </w:r>
      <w:r>
        <w:t>ce, dérive en partie de l’idéologie du XVIII</w:t>
      </w:r>
      <w:r>
        <w:rPr>
          <w:vertAlign w:val="superscript"/>
        </w:rPr>
        <w:t>e</w:t>
      </w:r>
      <w:r>
        <w:t xml:space="preserve"> siècle, plus spécialement de Condillac.</w:t>
      </w:r>
    </w:p>
    <w:p w:rsidR="00000000" w:rsidRDefault="00E270FF">
      <w:pPr>
        <w:spacing w:line="300" w:lineRule="exact"/>
        <w:jc w:val="both"/>
      </w:pPr>
    </w:p>
    <w:p w:rsidR="00000000" w:rsidRDefault="00E270FF">
      <w:pPr>
        <w:spacing w:line="300" w:lineRule="exact"/>
        <w:jc w:val="both"/>
      </w:pPr>
      <w:r>
        <w:t>Nous n’avons pas à parler ici de la philosophie sociale. Tout le monde sait comment s’élaborèrent en France, au cours du XVIII</w:t>
      </w:r>
      <w:r>
        <w:rPr>
          <w:vertAlign w:val="superscript"/>
        </w:rPr>
        <w:t>e</w:t>
      </w:r>
      <w:r>
        <w:t xml:space="preserve"> siècle, les principes de la science polit</w:t>
      </w:r>
      <w:r>
        <w:t>ique en général, et plus particulièrement les idées qui devaient amener une transformation de la société. À Montesquieu </w:t>
      </w:r>
      <w:r>
        <w:rPr>
          <w:rStyle w:val="Rimandonotaapidipagina"/>
        </w:rPr>
        <w:footnoteReference w:id="10"/>
      </w:r>
      <w:r>
        <w:t>, à Turgot </w:t>
      </w:r>
      <w:r>
        <w:rPr>
          <w:rStyle w:val="Rimandonotaapidipagina"/>
        </w:rPr>
        <w:footnoteReference w:id="11"/>
      </w:r>
      <w:r>
        <w:t>, à Condorcet </w:t>
      </w:r>
      <w:r>
        <w:rPr>
          <w:rStyle w:val="Rimandonotaapidipagina"/>
        </w:rPr>
        <w:footnoteReference w:id="12"/>
      </w:r>
      <w:r>
        <w:t>, est dû l’approfondissement des concepts de loi, de gouverne</w:t>
      </w:r>
      <w:r>
        <w:softHyphen/>
        <w:t>ment, de progrès, etc., comme aux encyclopédis</w:t>
      </w:r>
      <w:r>
        <w:t>tes en général (d’Alembert </w:t>
      </w:r>
      <w:r>
        <w:rPr>
          <w:rStyle w:val="Rimandonotaapidipagina"/>
        </w:rPr>
        <w:footnoteReference w:id="13"/>
      </w:r>
      <w:r>
        <w:t>, Diderot </w:t>
      </w:r>
      <w:r>
        <w:rPr>
          <w:rStyle w:val="Rimandonotaapidipagina"/>
        </w:rPr>
        <w:footnoteReference w:id="14"/>
      </w:r>
      <w:r>
        <w:t>, La Mettrie </w:t>
      </w:r>
      <w:r>
        <w:rPr>
          <w:rStyle w:val="Rimandonotaapidipagina"/>
        </w:rPr>
        <w:footnoteReference w:id="15"/>
      </w:r>
      <w:r>
        <w:t>, Helvetius </w:t>
      </w:r>
      <w:r>
        <w:rPr>
          <w:rStyle w:val="Rimandonotaapidipagina"/>
        </w:rPr>
        <w:footnoteReference w:id="16"/>
      </w:r>
      <w:r>
        <w:t>, d’Holbach </w:t>
      </w:r>
      <w:r>
        <w:rPr>
          <w:rStyle w:val="Rimandonotaapidipagina"/>
        </w:rPr>
        <w:footnoteReference w:id="17"/>
      </w:r>
      <w:r>
        <w:t>) le mouvement qui aboutit à, « rationaliser » l’humanité et à la tourner aussi du côté des arts mécaniques.</w:t>
      </w:r>
    </w:p>
    <w:p w:rsidR="00000000" w:rsidRDefault="00E270FF">
      <w:pPr>
        <w:spacing w:line="300" w:lineRule="exact"/>
        <w:jc w:val="both"/>
      </w:pPr>
    </w:p>
    <w:p w:rsidR="00000000" w:rsidRDefault="00E270FF">
      <w:pPr>
        <w:spacing w:line="300" w:lineRule="exact"/>
        <w:jc w:val="both"/>
      </w:pPr>
      <w:r>
        <w:t>Mais la plus puissante des influences qui se soient exercées sur l’</w:t>
      </w:r>
      <w:r>
        <w:t xml:space="preserve">esprit humain depuis Descartes, — de quelque manière d’ailleurs qu’on la juge, — </w:t>
      </w:r>
      <w:r>
        <w:lastRenderedPageBreak/>
        <w:t>est incontestablement celle de Jean-Jacques Rousseau </w:t>
      </w:r>
      <w:r>
        <w:rPr>
          <w:rStyle w:val="Rimandonotaapidipagina"/>
        </w:rPr>
        <w:footnoteReference w:id="18"/>
      </w:r>
      <w:r>
        <w:t>. La réforme qu’il opéra dans le domaine de la pensée pratique fut aussi radicale que l’avait été celle de Descartes dans</w:t>
      </w:r>
      <w:r>
        <w:t xml:space="preserve"> le domaine de la spéculation pure. Lui aussi remit tout en question ; il voulut remodeler la société, la morale, l’éducation, la vie entière de l’homme sur des principes « naturels ». Ceux mêmes qui ne se sont pas ralliés à ses idées ont dû adopter quelqu</w:t>
      </w:r>
      <w:r>
        <w:t>e chose de sa méthode. Par l’appel qu’il a lancé au sentiment, à l’intuition, à la conscience profonde, il a encou</w:t>
      </w:r>
      <w:r>
        <w:softHyphen/>
        <w:t>ragé une certaine manière de penser que l’on trouvait déjà chez Pascal (dir</w:t>
      </w:r>
      <w:r>
        <w:softHyphen/>
        <w:t>igée, il est vrai, dans un sens tout différent), mais qui n’avait</w:t>
      </w:r>
      <w:r>
        <w:t xml:space="preserve"> pas encore droit de cité en philosophie. Quoiqu’il n’ait pas construit un système, il a inspiré en partie les systèmes métaphysiques du XIX</w:t>
      </w:r>
      <w:r>
        <w:rPr>
          <w:vertAlign w:val="superscript"/>
        </w:rPr>
        <w:t>e</w:t>
      </w:r>
      <w:r>
        <w:t xml:space="preserve"> siècle : le Kantisme d’abord, puis le « romantisme » de la philosophie allemande lui durent beaucoup. L’art et la </w:t>
      </w:r>
      <w:r>
        <w:t>littérature lui doivent au moins autant. Son œuvre apparaît à chaque généra</w:t>
      </w:r>
      <w:r>
        <w:softHyphen/>
        <w:t>tion nouvelle sous quelque nouvel aspect. Elle agit encore sur nous </w:t>
      </w:r>
      <w:r>
        <w:rPr>
          <w:rStyle w:val="Rimandonotaapidipagina"/>
        </w:rPr>
        <w:footnoteReference w:id="19"/>
      </w:r>
      <w:r>
        <w:t>.</w:t>
      </w:r>
    </w:p>
    <w:p w:rsidR="00000000" w:rsidRDefault="00E270FF">
      <w:pPr>
        <w:spacing w:line="300" w:lineRule="exact"/>
        <w:jc w:val="both"/>
      </w:pPr>
    </w:p>
    <w:p w:rsidR="00000000" w:rsidRDefault="00E270FF">
      <w:pPr>
        <w:spacing w:line="300" w:lineRule="exact"/>
        <w:jc w:val="both"/>
      </w:pPr>
      <w:r>
        <w:t>Dans le coup d’œil que nous venons de jeter sur la philosophie française du XVII</w:t>
      </w:r>
      <w:r>
        <w:rPr>
          <w:vertAlign w:val="superscript"/>
        </w:rPr>
        <w:t>e</w:t>
      </w:r>
      <w:r>
        <w:t xml:space="preserve"> et du XVIII</w:t>
      </w:r>
      <w:r>
        <w:rPr>
          <w:vertAlign w:val="superscript"/>
        </w:rPr>
        <w:t>e</w:t>
      </w:r>
      <w:r>
        <w:t xml:space="preserve"> siècles, nous</w:t>
      </w:r>
      <w:r>
        <w:t xml:space="preserve"> avons pris une vue d’ensemble ; nous avons dû laisser de côté un grand nombre de penseurs et ne considérer que les plus importants d’entre eux. Que sera-ce pour le XIX</w:t>
      </w:r>
      <w:r>
        <w:rPr>
          <w:vertAlign w:val="superscript"/>
        </w:rPr>
        <w:t>e</w:t>
      </w:r>
      <w:r>
        <w:t xml:space="preserve"> siècle ? Il n’y a guère de savant français, ni même d’écrivain français, qui n’ait app</w:t>
      </w:r>
      <w:r>
        <w:t>orté sa contribu</w:t>
      </w:r>
      <w:r>
        <w:softHyphen/>
        <w:t>tion à la philosophie.</w:t>
      </w:r>
    </w:p>
    <w:p w:rsidR="00000000" w:rsidRDefault="00E270FF">
      <w:pPr>
        <w:spacing w:line="300" w:lineRule="exact"/>
        <w:jc w:val="both"/>
      </w:pPr>
      <w:r>
        <w:t>Si les trois siècles précédents avaient vu naître et se développer les scien</w:t>
      </w:r>
      <w:r>
        <w:softHyphen/>
        <w:t>ces abstraites et concrètes de la matière inorganique, — mathématiques, méca</w:t>
      </w:r>
      <w:r>
        <w:softHyphen/>
        <w:t>nique, astronomie, physique et chimie, — le XIX</w:t>
      </w:r>
      <w:r>
        <w:rPr>
          <w:vertAlign w:val="superscript"/>
        </w:rPr>
        <w:t>e</w:t>
      </w:r>
      <w:r>
        <w:t xml:space="preserve"> siècle devait</w:t>
      </w:r>
      <w:r>
        <w:t xml:space="preserve"> approfondir en outre les sciences de la vie : vie organique et même, jusqu’à un certain point, vie sociale. Ici encore les Français furent des initiateurs. On leur doit la théorie de la méthode, et une partie importante des résultats. Nous faisons allusio</w:t>
      </w:r>
      <w:r>
        <w:t>n surtout à Claude Bernard, et à Auguste Comte.</w:t>
      </w:r>
    </w:p>
    <w:p w:rsidR="00000000" w:rsidRDefault="00E270FF">
      <w:pPr>
        <w:spacing w:line="300" w:lineRule="exact"/>
        <w:jc w:val="both"/>
      </w:pPr>
    </w:p>
    <w:p w:rsidR="00000000" w:rsidRDefault="00E270FF">
      <w:pPr>
        <w:spacing w:line="300" w:lineRule="exact"/>
        <w:jc w:val="both"/>
      </w:pPr>
      <w:r>
        <w:t>L’</w:t>
      </w:r>
      <w:r>
        <w:rPr>
          <w:i/>
        </w:rPr>
        <w:t xml:space="preserve">Introduction à la médecine expérimentale </w:t>
      </w:r>
      <w:r>
        <w:t>de Claude Bernard </w:t>
      </w:r>
      <w:r>
        <w:rPr>
          <w:rStyle w:val="Rimandonotaapidipagina"/>
        </w:rPr>
        <w:footnoteReference w:id="20"/>
      </w:r>
      <w:r>
        <w:t xml:space="preserve"> a été, pour les sciences concrètes de laboratoire, ce que le </w:t>
      </w:r>
      <w:r>
        <w:rPr>
          <w:i/>
        </w:rPr>
        <w:t>Discours de la méthode</w:t>
      </w:r>
      <w:r>
        <w:t xml:space="preserve"> de Descartes avait été pour les sciences plus abstraites. C’</w:t>
      </w:r>
      <w:r>
        <w:t>est l’œuvre d’un physiologiste de génie qui s’interroge sur la méthode qu’il a suivie, et qui tire de sa propre expérience des règles générales d’expérimentation et de décou</w:t>
      </w:r>
      <w:r>
        <w:softHyphen/>
        <w:t>verte. La recherche scientifique, telle que Claude Bernard la recommande, est un d</w:t>
      </w:r>
      <w:r>
        <w:t xml:space="preserve">ialogue entre l’homme et la nature. Les réponses que la nature fait à nos </w:t>
      </w:r>
      <w:r>
        <w:lastRenderedPageBreak/>
        <w:t>questions donnent à l’entretien une tournure imprévue, provoquent des ques</w:t>
      </w:r>
      <w:r>
        <w:softHyphen/>
        <w:t>tions nouvelles auxquelles la nature réplique en suggérant de nouvelles idées, et ainsi de suite indéfinime</w:t>
      </w:r>
      <w:r>
        <w:t>nt. Ni les faits ni les idées ne sont donc constitutifs de la science : celle-ci, toujours provisoire et toujours, en partie, symbolique, naît de la collaboration de l’idée et du fait. Immanente à l’œuvre de Claude Bernard est ainsi l’affirmation d’un écar</w:t>
      </w:r>
      <w:r>
        <w:t>t entre la logique de l’homme et celle de la nature. Sur ce point, et sur plusieurs autres, Claude Bernard a devancé les théoriciens « pragmatistes » de la science.</w:t>
      </w:r>
    </w:p>
    <w:p w:rsidR="00000000" w:rsidRDefault="00E270FF">
      <w:pPr>
        <w:spacing w:line="300" w:lineRule="exact"/>
        <w:jc w:val="both"/>
      </w:pPr>
    </w:p>
    <w:p w:rsidR="00000000" w:rsidRDefault="00E270FF">
      <w:pPr>
        <w:spacing w:line="300" w:lineRule="exact"/>
        <w:jc w:val="both"/>
      </w:pPr>
      <w:r>
        <w:t xml:space="preserve">Le </w:t>
      </w:r>
      <w:r>
        <w:rPr>
          <w:i/>
        </w:rPr>
        <w:t>Cours de philosophie positive</w:t>
      </w:r>
      <w:r>
        <w:t xml:space="preserve"> d’Auguste Comte </w:t>
      </w:r>
      <w:r>
        <w:rPr>
          <w:rStyle w:val="Rimandonotaapidipagina"/>
        </w:rPr>
        <w:footnoteReference w:id="21"/>
      </w:r>
      <w:r>
        <w:t xml:space="preserve"> est une des grandes œuvres de la philos</w:t>
      </w:r>
      <w:r>
        <w:t>ophie moderne. L’idée, simple et géniale, d’établir entre les sciences un ordre hiérarchique qui va des mathématiques à la sociologie </w:t>
      </w:r>
      <w:r>
        <w:rPr>
          <w:rStyle w:val="Rimandonotaapidipagina"/>
        </w:rPr>
        <w:footnoteReference w:id="22"/>
      </w:r>
      <w:r>
        <w:t>, s’impose à notre esprit, depuis que Comte l’a formulée, avec la force d’une vérité définitive. Si l’on peut contester s</w:t>
      </w:r>
      <w:r>
        <w:t>ur certains points l’œuvre sociologi</w:t>
      </w:r>
      <w:r>
        <w:softHyphen/>
        <w:t xml:space="preserve">que du maître, il n’en a pas moins eu le mérite de tracer à la sociologie son programme et de commencer à le remplir. Réformateur à la manière de Socrate, il eût été tout disposé, comme on l’a fait remarquer, a adopter </w:t>
      </w:r>
      <w:r>
        <w:t>la maxime socratique « connais-toi toi-même » ; mais il l’eût appliquée aux sociétés et non plus aux individus, la connaissance de l’homme social étant à ses yeux le point culminant de la science et l’objet par excellence de la philo</w:t>
      </w:r>
      <w:r>
        <w:softHyphen/>
        <w:t>sophie. Ajoutons que l</w:t>
      </w:r>
      <w:r>
        <w:t>e fondateur du positivisme, qui se déclara l’adversaire de toute métaphysique, est une âme de métaphysicien, et que la postérité verra dans son œuvre un puissant effort pour « diviniser » l’humanité.</w:t>
      </w:r>
    </w:p>
    <w:p w:rsidR="00000000" w:rsidRDefault="00E270FF">
      <w:pPr>
        <w:spacing w:line="300" w:lineRule="exact"/>
        <w:jc w:val="both"/>
      </w:pPr>
    </w:p>
    <w:p w:rsidR="00000000" w:rsidRDefault="00E270FF">
      <w:pPr>
        <w:spacing w:line="300" w:lineRule="exact"/>
        <w:jc w:val="both"/>
      </w:pPr>
      <w:r>
        <w:t>Renan </w:t>
      </w:r>
      <w:r>
        <w:rPr>
          <w:rStyle w:val="Rimandonotaapidipagina"/>
        </w:rPr>
        <w:footnoteReference w:id="23"/>
      </w:r>
      <w:r>
        <w:t xml:space="preserve"> n’a pas de parenté intellectuelle avec Comte. M</w:t>
      </w:r>
      <w:r>
        <w:t>ais, à sa manière, et dans un sens assez différent, il a eu, lui aussi, cette religion de l’humanité qu’avait rêvée le fondateur du positivisme. La séduction qu’il exerça sur son temps tient à bien des causes. Ce fut d’abord un merveilleux écrivain, si tou</w:t>
      </w:r>
      <w:r>
        <w:t>tefois on peut encore appeler écrivain celui qui nous fait oublier qu’il emploie des mots, sa pensée paraissant s’insinuer directement dans la nôtre. Mais bien séduisante aussi, bien adaptée au siècle qui avait revivifié les scien</w:t>
      </w:r>
      <w:r>
        <w:softHyphen/>
        <w:t>ces historiques, était la</w:t>
      </w:r>
      <w:r>
        <w:t xml:space="preserve"> conception doublement optimiste de l’histoire qui </w:t>
      </w:r>
      <w:r>
        <w:lastRenderedPageBreak/>
        <w:t>pénétrait l’œuvre de ce maître ; car, d’une part, il pensait que l’histoire enregistre un progrès ininterrompu de l’humanité, et, d’autre part, il voyait en elle un succédané de la philosophie et de la rel</w:t>
      </w:r>
      <w:r>
        <w:t>igion.</w:t>
      </w:r>
    </w:p>
    <w:p w:rsidR="00000000" w:rsidRDefault="00E270FF">
      <w:pPr>
        <w:spacing w:line="300" w:lineRule="exact"/>
        <w:jc w:val="both"/>
      </w:pPr>
    </w:p>
    <w:p w:rsidR="00000000" w:rsidRDefault="00E270FF">
      <w:pPr>
        <w:spacing w:line="300" w:lineRule="exact"/>
        <w:jc w:val="both"/>
      </w:pPr>
      <w:r>
        <w:t>Cette même foi à la science — aux sciences qui étudient l’homme — se retrouve chez Taine </w:t>
      </w:r>
      <w:r>
        <w:rPr>
          <w:rStyle w:val="Rimandonotaapidipagina"/>
        </w:rPr>
        <w:footnoteReference w:id="24"/>
      </w:r>
      <w:r>
        <w:t>, un penseur qui eut autant d’influence que Renan en France, et qui en eut peut-être plus encore que Renan à l’étranger. Taine veut appliquer à l’étude, de l’</w:t>
      </w:r>
      <w:r>
        <w:t>activité humaine sous ses diverses formes, dans la littérature, dans l’art, dans l’histoire, les méthodes du naturaliste et du physicien. D’autre part, il est tout pénétré de la pensée des anciens maîtres : avec Spinoza il croit à l’universelle nécessité ;</w:t>
      </w:r>
      <w:r>
        <w:t xml:space="preserve"> sur la puissance en quelque sorte magique de l’abstraction, sur les « qualités principales » et les « facultés maîtresses », il a des vues qui le rapprochent d’Aristote et de Platon. Il revient ainsi, implicitement, à la métaphysique ; mais il borne l’hor</w:t>
      </w:r>
      <w:r>
        <w:t>izon de cette métaphysique à l’homme et aux choses humaines. Pas plus que Renan, il ne ressemble ni ne se rattache à Comte. Et pourtant ce n’est pas tout à fait sans raison qu’on le classe parfois, ainsi que Renan lui-même, parmi les positi</w:t>
      </w:r>
      <w:r>
        <w:softHyphen/>
        <w:t xml:space="preserve">vistes. Il y a </w:t>
      </w:r>
      <w:r>
        <w:t>bien des manières, en effet, de définir le positivisme ; mais nous croyons qu’il faut y voir, avant tout, une conception anthropocentrique de l’univers.</w:t>
      </w:r>
    </w:p>
    <w:p w:rsidR="00000000" w:rsidRDefault="00E270FF">
      <w:pPr>
        <w:spacing w:line="300" w:lineRule="exact"/>
        <w:jc w:val="both"/>
      </w:pPr>
    </w:p>
    <w:p w:rsidR="00000000" w:rsidRDefault="00E270FF">
      <w:pPr>
        <w:spacing w:line="300" w:lineRule="exact"/>
        <w:ind w:firstLine="0"/>
        <w:jc w:val="center"/>
      </w:pPr>
      <w:r>
        <w:t>*</w:t>
      </w:r>
    </w:p>
    <w:p w:rsidR="00000000" w:rsidRDefault="00E270FF">
      <w:pPr>
        <w:spacing w:line="300" w:lineRule="exact"/>
        <w:ind w:firstLine="0"/>
        <w:jc w:val="center"/>
      </w:pPr>
      <w:r>
        <w:t>*  *</w:t>
      </w:r>
    </w:p>
    <w:p w:rsidR="00000000" w:rsidRDefault="00E270FF">
      <w:pPr>
        <w:spacing w:line="300" w:lineRule="exact"/>
        <w:jc w:val="both"/>
      </w:pPr>
    </w:p>
    <w:p w:rsidR="00000000" w:rsidRDefault="00E270FF">
      <w:pPr>
        <w:spacing w:line="300" w:lineRule="exact"/>
        <w:jc w:val="both"/>
      </w:pPr>
      <w:r>
        <w:t>Entre la philosophie biologique et la philosophie sociale, dont la création est due pour une s</w:t>
      </w:r>
      <w:r>
        <w:t>i large part, au génie français, vient se placer un ordre de recherches qui, lui aussi, appartient surtout au XIX</w:t>
      </w:r>
      <w:r>
        <w:rPr>
          <w:vertAlign w:val="superscript"/>
        </w:rPr>
        <w:t>e</w:t>
      </w:r>
      <w:r>
        <w:t xml:space="preserve"> siècle : nous voulons parler de la psychologie. Ce n’est pas à dire qu’il n’y eût ou déjà, particulière</w:t>
      </w:r>
      <w:r>
        <w:softHyphen/>
        <w:t>ment en France, en Angleterre et en É</w:t>
      </w:r>
      <w:r>
        <w:t>cosse, des psychologues pénétrants ; mais l’observation intérieure, laissée à elle même et réduite à l’étude des phénomènes normaux, avait difficilement accès à certaines régions de l’esprit, notamment au « subconscient ». À la méthode habituelle d’observa</w:t>
      </w:r>
      <w:r>
        <w:t>tion intérieure le XIX</w:t>
      </w:r>
      <w:r>
        <w:rPr>
          <w:vertAlign w:val="superscript"/>
        </w:rPr>
        <w:t>e</w:t>
      </w:r>
      <w:r>
        <w:t xml:space="preserve"> siècle en a adjoint deux autres : d’un côté, l’ensemble des procédés de mensuration dont on fait usage dans les laboratoires, et, d’autre part, la méthode qu’on pourrait appeler </w:t>
      </w:r>
      <w:r>
        <w:rPr>
          <w:i/>
        </w:rPr>
        <w:t>clinique</w:t>
      </w:r>
      <w:r>
        <w:t>, celle qui consiste à recueillir des observat</w:t>
      </w:r>
      <w:r>
        <w:t>ions de malades et même à provoquer des phénomènes morbides (intoxication, hypnotisme, etc.). De ces deux méthodes, la première a été pratiquée surtout en Allemagne ; quoiqu’elle ne soit pas négligeable, elle est loin d’avoir donné ce qu’on attendait d’ell</w:t>
      </w:r>
      <w:r>
        <w:t>e </w:t>
      </w:r>
      <w:r>
        <w:rPr>
          <w:rStyle w:val="Rimandonotaapidipagina"/>
        </w:rPr>
        <w:footnoteReference w:id="25"/>
      </w:r>
      <w:r>
        <w:t xml:space="preserve">. La seconde, au contraire, a déjà </w:t>
      </w:r>
      <w:r>
        <w:lastRenderedPageBreak/>
        <w:t>fourni des résultats importants, et elle en laisse entrevoir d’autres, plus considérables encore. Or cette dernière psychologie, cultivée aujourd’hui dans bien des pays, est une science d’origine française, qui est res</w:t>
      </w:r>
      <w:r>
        <w:t>tée éminemment française. Préparée par les aliénistes français de la première moitié du XIX</w:t>
      </w:r>
      <w:r>
        <w:rPr>
          <w:vertAlign w:val="superscript"/>
        </w:rPr>
        <w:t>e</w:t>
      </w:r>
      <w:r>
        <w:t xml:space="preserve"> siècle, elle s’est constituée d’une manière définitive avec Moreau de Tours, et elle n’a pas cessé, depuis, d’être représentée en France par des maîtres, soit qu’i</w:t>
      </w:r>
      <w:r>
        <w:t>ls fussent venus de la pathologie à la psychologie, soit que ce fussent des psychologues attirés vers la pathologie mentale. Il nous suffira de citer les noms de Charcot, de Ribot, de Pierre Janet et de Georges Dumas.</w:t>
      </w:r>
    </w:p>
    <w:p w:rsidR="00000000" w:rsidRDefault="00E270FF">
      <w:pPr>
        <w:spacing w:line="300" w:lineRule="exact"/>
        <w:jc w:val="both"/>
      </w:pPr>
    </w:p>
    <w:p w:rsidR="00000000" w:rsidRDefault="00E270FF">
      <w:pPr>
        <w:spacing w:line="300" w:lineRule="exact"/>
        <w:ind w:firstLine="0"/>
        <w:jc w:val="center"/>
      </w:pPr>
      <w:r>
        <w:t>*</w:t>
      </w:r>
    </w:p>
    <w:p w:rsidR="00000000" w:rsidRDefault="00E270FF">
      <w:pPr>
        <w:spacing w:line="300" w:lineRule="exact"/>
        <w:ind w:firstLine="0"/>
        <w:jc w:val="center"/>
      </w:pPr>
      <w:r>
        <w:t>*  *</w:t>
      </w:r>
    </w:p>
    <w:p w:rsidR="00000000" w:rsidRDefault="00E270FF">
      <w:pPr>
        <w:spacing w:line="300" w:lineRule="exact"/>
        <w:jc w:val="both"/>
      </w:pPr>
    </w:p>
    <w:p w:rsidR="00000000" w:rsidRDefault="00E270FF">
      <w:pPr>
        <w:spacing w:line="300" w:lineRule="exact"/>
        <w:jc w:val="both"/>
      </w:pPr>
      <w:r>
        <w:t>Mais, tandis qu’une partie de</w:t>
      </w:r>
      <w:r>
        <w:t xml:space="preserve"> la philosophie française, au XIX</w:t>
      </w:r>
      <w:r>
        <w:rPr>
          <w:vertAlign w:val="superscript"/>
        </w:rPr>
        <w:t>e</w:t>
      </w:r>
      <w:r>
        <w:t xml:space="preserve"> siècle, s’orientait ainsi dans la direction de la physiologie, de la psychologie, de la sociologie, le reste prenait pour objet de spéculation, comme aux siècles précédents, la nature en général, l’esprit en général.</w:t>
      </w:r>
    </w:p>
    <w:p w:rsidR="00000000" w:rsidRDefault="00E270FF">
      <w:pPr>
        <w:spacing w:line="300" w:lineRule="exact"/>
        <w:jc w:val="both"/>
      </w:pPr>
    </w:p>
    <w:p w:rsidR="00000000" w:rsidRDefault="00E270FF">
      <w:pPr>
        <w:spacing w:line="300" w:lineRule="exact"/>
        <w:jc w:val="both"/>
      </w:pPr>
      <w:r>
        <w:t>Dès</w:t>
      </w:r>
      <w:r>
        <w:t xml:space="preserve"> le début du siècle, la France ont un grand métaphysicien, le plus grand qu’elle eût produit depuis Descartes et Malebranche : Maine de Biran </w:t>
      </w:r>
      <w:r>
        <w:rPr>
          <w:rStyle w:val="Rimandonotaapidipagina"/>
          <w:sz w:val="24"/>
        </w:rPr>
        <w:footnoteReference w:id="26"/>
      </w:r>
      <w:r>
        <w:t>. Peu remarquée au moment où elle parut, la doctrine de Maine de Biran a exercé une influence croissante : on peu</w:t>
      </w:r>
      <w:r>
        <w:t>t se demander si la voie que ce philosophe a ouverte n’est pas celle où la métaphysique devra marcher définitivement. À l’opposé de Kant (car c’est à tort qu’on l’a appelé le « Kant français »), Maine de Biran a jugé que l’esprit humain était capable, au m</w:t>
      </w:r>
      <w:r>
        <w:t>oins sur un point, d’atteindre l’absolu et d’en faire l’objet de ses spéculations. Il a montré que la connaissance que nous avons de nous-même, en particulier dans le sentiment de l’effort, est une connaissance privilégiée, qui dépasse le pur « phénomène »</w:t>
      </w:r>
      <w:r>
        <w:t xml:space="preserve"> et qui atteint la réalité « en soi », — cette réalité que Kant déclarait inacces</w:t>
      </w:r>
      <w:r>
        <w:softHyphen/>
        <w:t>sible à nos spéculations. Bref, il a conçu l’idée d’une métaphysique qui s’élèverait de plus en plus haut, vers l’esprit en général, à mesure que la conscience descendrait pl</w:t>
      </w:r>
      <w:r>
        <w:t>us bas, dans les profondeurs de la vie intérieure. Vue géniale, dont il a tiré les conséquences sans s’amuser à des jeux dialectiques, sans bâtir un système.</w:t>
      </w:r>
    </w:p>
    <w:p w:rsidR="00000000" w:rsidRDefault="00E270FF">
      <w:pPr>
        <w:spacing w:line="300" w:lineRule="exact"/>
        <w:jc w:val="both"/>
      </w:pPr>
    </w:p>
    <w:p w:rsidR="00000000" w:rsidRDefault="00E270FF">
      <w:pPr>
        <w:spacing w:line="300" w:lineRule="exact"/>
        <w:jc w:val="both"/>
      </w:pPr>
      <w:r>
        <w:t>Que d’ailleurs Maine de Biran ait une certaine parenté avec Pascal, c’est ce que nous entrevoyons</w:t>
      </w:r>
      <w:r>
        <w:t xml:space="preserve"> quand nous lisons Ravaisson </w:t>
      </w:r>
      <w:r>
        <w:rPr>
          <w:rStyle w:val="Rimandonotaapidipagina"/>
          <w:sz w:val="24"/>
        </w:rPr>
        <w:footnoteReference w:id="27"/>
      </w:r>
      <w:r>
        <w:t xml:space="preserve">. Attaché à Pascal </w:t>
      </w:r>
      <w:r>
        <w:lastRenderedPageBreak/>
        <w:t>autant qu’à Maine de Biran, épris de l’art grec autant que de la philosophie grecque, Ravaisson nous fait admirablement comprendre comment l’origi</w:t>
      </w:r>
      <w:r>
        <w:softHyphen/>
        <w:t xml:space="preserve">nalité de chaque philosophe français ne l’empêche pas de se </w:t>
      </w:r>
      <w:r>
        <w:t>relier à une certaine tradition, et comment cette tradition elle-même rejoint la tradition classique. Un Descartes a beau rompre avec la philosophie des anciens : son œuvre conserve les qualités d’ordre et de mesure qui furent caractéristiques de la pensée</w:t>
      </w:r>
      <w:r>
        <w:t xml:space="preserve"> grecque. Ravaisson a mis en lumière ce côté artistique et classique de la pensée philosophique française. Lui-même a tracé les linéaments d’une philosophie qui mesure la réalité des choses à leur degré de beauté.</w:t>
      </w:r>
    </w:p>
    <w:p w:rsidR="00000000" w:rsidRDefault="00E270FF">
      <w:pPr>
        <w:spacing w:line="300" w:lineRule="exact"/>
        <w:jc w:val="both"/>
      </w:pPr>
    </w:p>
    <w:p w:rsidR="00000000" w:rsidRDefault="00E270FF">
      <w:pPr>
        <w:spacing w:line="300" w:lineRule="exact"/>
        <w:jc w:val="both"/>
      </w:pPr>
      <w:r>
        <w:t xml:space="preserve">On ne peut prononcer le nom de Ravaisson </w:t>
      </w:r>
      <w:r>
        <w:t>sans y associer celui de Lachelier, un penseur dont l’influence fut tout aussi considérable. Lachelier réveilla la philosophie universitaire à un moment où elle s’endormait dans la doctrine, facile et aimable, de Victor Cousin </w:t>
      </w:r>
      <w:r>
        <w:rPr>
          <w:rStyle w:val="Rimandonotaapidipagina"/>
        </w:rPr>
        <w:footnoteReference w:id="28"/>
      </w:r>
      <w:r>
        <w:t xml:space="preserve">. Sa thèse sur le fondement </w:t>
      </w:r>
      <w:r>
        <w:t>de l’induction restera classique, comme tout ce qui porte la marque de la perfec</w:t>
      </w:r>
      <w:r>
        <w:softHyphen/>
        <w:t xml:space="preserve">tion. Sa doctrine, qui se réclame du kantisme, dépasse en réalité l’idéalisme de Kant et inaugure même un, réalisme d’un genre particulier, qui pourrait être rattaché à celui </w:t>
      </w:r>
      <w:r>
        <w:t>de Maine de Biran. Maître incomparable, il a nourri de sa pensée plusieurs générations de maîtres.</w:t>
      </w:r>
    </w:p>
    <w:p w:rsidR="00000000" w:rsidRDefault="00E270FF">
      <w:pPr>
        <w:spacing w:line="300" w:lineRule="exact"/>
        <w:jc w:val="both"/>
      </w:pPr>
    </w:p>
    <w:p w:rsidR="00000000" w:rsidRDefault="00E270FF">
      <w:pPr>
        <w:spacing w:line="300" w:lineRule="exact"/>
        <w:jc w:val="both"/>
      </w:pPr>
      <w:r>
        <w:t>De la philosophie de Ravaisson, et plus particulièrement de ses vues sur l’habitude, de la philosophie d’Auguste Comte aussi (en tant qu’elle affirme l’irré</w:t>
      </w:r>
      <w:r>
        <w:t>ductibilité des sciences les unes aux autres) on pourrait rapprocher la théorie neuve et profonde que Boutroux expose dans sa thèse sur « la contin</w:t>
      </w:r>
      <w:r>
        <w:softHyphen/>
        <w:t>gence des lois de la nature ». Par une voie toute différente, par l’analyse des conditions auxquelles est so</w:t>
      </w:r>
      <w:r>
        <w:t>umise la construction des concepts scientifiques, le grand mathématicien Henri Poincaré </w:t>
      </w:r>
      <w:r>
        <w:rPr>
          <w:rStyle w:val="Rimandonotaapidipagina"/>
        </w:rPr>
        <w:footnoteReference w:id="29"/>
      </w:r>
      <w:r>
        <w:t xml:space="preserve"> est arrivé à des conclusions du même genre : il montre ce qu’il y a de relatif à l’homme, de relatif aux exigences et aux préférences de notre science, dans le réseau</w:t>
      </w:r>
      <w:r>
        <w:t xml:space="preserve"> de lois que notre pensée étend sur l’univers. Analogue est la doctrine de Milhaud </w:t>
      </w:r>
      <w:r>
        <w:rPr>
          <w:rStyle w:val="Rimandonotaapidipagina"/>
        </w:rPr>
        <w:footnoteReference w:id="30"/>
      </w:r>
      <w:r>
        <w:t xml:space="preserve">. Et l’on pourrait ranger du </w:t>
      </w:r>
      <w:r>
        <w:lastRenderedPageBreak/>
        <w:t>même côté Édouard Le Roy, si l’œuvre de ce philosophe n’était animée, malgré certaines ressemblances extérieures, d’un esprit différent : sa cr</w:t>
      </w:r>
      <w:r>
        <w:t>itique de la science est liée à des vues personnelles, profondes, sur la réalité en général, sur la morale et la religion </w:t>
      </w:r>
      <w:r>
        <w:rPr>
          <w:rStyle w:val="Rimandonotaapidipagina"/>
        </w:rPr>
        <w:footnoteReference w:id="31"/>
      </w:r>
      <w:r>
        <w:t>.</w:t>
      </w:r>
    </w:p>
    <w:p w:rsidR="00000000" w:rsidRDefault="00E270FF">
      <w:pPr>
        <w:spacing w:line="300" w:lineRule="exact"/>
        <w:jc w:val="both"/>
      </w:pPr>
    </w:p>
    <w:p w:rsidR="00000000" w:rsidRDefault="00E270FF">
      <w:pPr>
        <w:spacing w:line="300" w:lineRule="exact"/>
        <w:jc w:val="both"/>
      </w:pPr>
      <w:r>
        <w:t>L’idée dominante de Liard a été de maintenir en face l’une de l’autre la métaphysique et la science, comme deux formes également l</w:t>
      </w:r>
      <w:r>
        <w:t>égitimes de la pensée. Le même souci existe chez Fouillée </w:t>
      </w:r>
      <w:r>
        <w:rPr>
          <w:rStyle w:val="Rimandonotaapidipagina"/>
        </w:rPr>
        <w:footnoteReference w:id="32"/>
      </w:r>
      <w:r>
        <w:t>. Psychologue et sociologue autant que dialecticien, Fouillée a développé une théorie des idées-forces qui est un rationalisme élargi. Il n’est guère de question, théorique ou pratique, que ce pens</w:t>
      </w:r>
      <w:r>
        <w:t>eur brillant n’ait abordée, et sur laquelle il n’ait présenté des vues intéressantes et suggestives. Il eut dans Guyau </w:t>
      </w:r>
      <w:r>
        <w:rPr>
          <w:rStyle w:val="Rimandonotaapidipagina"/>
        </w:rPr>
        <w:footnoteReference w:id="33"/>
      </w:r>
      <w:r>
        <w:t xml:space="preserve"> un disciple génial. Moins célèbre que Nietzsche, Guyau avait soutenu, avant le philosophe allemand, en termes plus mesurés et sous une </w:t>
      </w:r>
      <w:r>
        <w:t>forme plus acceptable, que l’idéal moral doit être cherché dans la plus haute expansion possible de la vie.</w:t>
      </w:r>
    </w:p>
    <w:p w:rsidR="00000000" w:rsidRDefault="00E270FF">
      <w:pPr>
        <w:spacing w:line="300" w:lineRule="exact"/>
        <w:jc w:val="both"/>
      </w:pPr>
    </w:p>
    <w:p w:rsidR="00000000" w:rsidRDefault="00E270FF">
      <w:pPr>
        <w:spacing w:line="300" w:lineRule="exact"/>
        <w:jc w:val="both"/>
      </w:pPr>
      <w:r>
        <w:t xml:space="preserve">Nous avons laissé de côté dans cette énumération rapide, deux penseurs de premier ordre que nous ne pouvions pas rattacher à la tradition issue de </w:t>
      </w:r>
      <w:r>
        <w:t>Maine de Biran. Nous voulons parler de Renouvier et de Cournot </w:t>
      </w:r>
      <w:r>
        <w:rPr>
          <w:rStyle w:val="Rimandonotaapidipagina"/>
        </w:rPr>
        <w:footnoteReference w:id="34"/>
      </w:r>
      <w:r>
        <w:t>.</w:t>
      </w:r>
    </w:p>
    <w:p w:rsidR="00000000" w:rsidRDefault="00E270FF">
      <w:pPr>
        <w:spacing w:line="300" w:lineRule="exact"/>
        <w:jc w:val="both"/>
      </w:pPr>
    </w:p>
    <w:p w:rsidR="00000000" w:rsidRDefault="00E270FF">
      <w:pPr>
        <w:spacing w:line="300" w:lineRule="exact"/>
        <w:jc w:val="both"/>
      </w:pPr>
      <w:r>
        <w:t>Parti du criticisme kantien, qu’il avait d’ailleurs profondément modifié dès le début, Renouvier </w:t>
      </w:r>
      <w:r>
        <w:rPr>
          <w:rStyle w:val="Rimandonotaapidipagina"/>
        </w:rPr>
        <w:footnoteReference w:id="35"/>
      </w:r>
      <w:r>
        <w:t xml:space="preserve"> s’en est dégagé peu à peu pour arriver à des conclusions qui ne sont pas très éloignées, q</w:t>
      </w:r>
      <w:r>
        <w:t>uant à la lettre, de celles du dogmatisme méta</w:t>
      </w:r>
      <w:r>
        <w:softHyphen/>
        <w:t>physique : il affirme, en particulier, l’indépendance de la personne humaine ; il réintègre la liberté dans le monde. Mais il renouvelle la signification de ces thèses, en les rapprochant des données de la sci</w:t>
      </w:r>
      <w:r>
        <w:t>ence positive, et surtout en les faisant précéder d’une critique de l’entendement humain. Par sa morale, autant que par sa théorie de la nature et de l’homme, il a agi considérablement sur la pensée de son temps </w:t>
      </w:r>
      <w:r>
        <w:rPr>
          <w:rStyle w:val="Rimandonotaapidipagina"/>
        </w:rPr>
        <w:footnoteReference w:id="36"/>
      </w:r>
      <w:r>
        <w:t>.</w:t>
      </w:r>
    </w:p>
    <w:p w:rsidR="00000000" w:rsidRDefault="00E270FF">
      <w:pPr>
        <w:spacing w:line="300" w:lineRule="exact"/>
        <w:jc w:val="both"/>
      </w:pPr>
    </w:p>
    <w:p w:rsidR="00000000" w:rsidRDefault="00E270FF">
      <w:pPr>
        <w:spacing w:line="300" w:lineRule="exact"/>
        <w:jc w:val="both"/>
      </w:pPr>
      <w:r>
        <w:t>Conduit à la philosophie, lui aussi, par</w:t>
      </w:r>
      <w:r>
        <w:t xml:space="preserve"> l’étude des sciences, et en particu</w:t>
      </w:r>
      <w:r>
        <w:softHyphen/>
        <w:t>lier par les mathématiques, Cournot </w:t>
      </w:r>
      <w:r>
        <w:rPr>
          <w:rStyle w:val="Rimandonotaapidipagina"/>
        </w:rPr>
        <w:footnoteReference w:id="37"/>
      </w:r>
      <w:r>
        <w:t xml:space="preserve"> institua une critique d’un genre nou</w:t>
      </w:r>
      <w:r>
        <w:softHyphen/>
        <w:t>veau, qui, à la différence de la critique kantienne, porte à la fois sur la forme et sur la matière de notre connaissance, sur les méthodes et s</w:t>
      </w:r>
      <w:r>
        <w:t>ur les résultats. Sur une foule de points — notamment sur le hasard et la probabilité — il a apporté des vues neuves, pénétrantes et profondes. Il est temps de mettre ce penseur à sa vraie place, — une des premières, — parmi les philosophes du XIX</w:t>
      </w:r>
      <w:r>
        <w:rPr>
          <w:vertAlign w:val="superscript"/>
        </w:rPr>
        <w:t>e</w:t>
      </w:r>
      <w:r>
        <w:t xml:space="preserve"> siècle.</w:t>
      </w:r>
    </w:p>
    <w:p w:rsidR="00000000" w:rsidRDefault="00E270FF">
      <w:pPr>
        <w:spacing w:line="300" w:lineRule="exact"/>
        <w:jc w:val="both"/>
      </w:pPr>
    </w:p>
    <w:p w:rsidR="00000000" w:rsidRDefault="00E270FF">
      <w:pPr>
        <w:spacing w:line="300" w:lineRule="exact"/>
        <w:jc w:val="both"/>
      </w:pPr>
      <w:r>
        <w:t>On pourrait maintenant, pour conclure, dire un mot de l’entreprise tentée par l’auteur de l’</w:t>
      </w:r>
      <w:r>
        <w:rPr>
          <w:i/>
        </w:rPr>
        <w:t xml:space="preserve">Évolution créatrice </w:t>
      </w:r>
      <w:r>
        <w:t>pour porter la métaphysique sur le terrain de l’expérience et pour constituer, en faisant appel à la science et à la con</w:t>
      </w:r>
      <w:r>
        <w:softHyphen/>
        <w:t>science, en développa</w:t>
      </w:r>
      <w:r>
        <w:t>nt la faculté d’intuition, une philosophie capable de fournir, non plus seulement des théories générales, mais aussi des explications concrètes de faits particuliers. La philosophie, ainsi entendue, est susceptible de la même précision que la science posit</w:t>
      </w:r>
      <w:r>
        <w:t>ive. Comme la science, elle pourra progresser sans cesse en ajoutant les uns aux autres des résultats une fois acquis. Mais elle visera en outre — et c’est par là qu’elle se distingue de la science — à élargir de plus en plus les cadres de l’entendement, d</w:t>
      </w:r>
      <w:r>
        <w:t>ût-elle briser tel ou tel d’entre eux, et à dilater indéfiniment la pensée humaine.</w:t>
      </w:r>
    </w:p>
    <w:p w:rsidR="00000000" w:rsidRDefault="00E270FF">
      <w:pPr>
        <w:spacing w:line="300" w:lineRule="exact"/>
        <w:jc w:val="both"/>
      </w:pPr>
    </w:p>
    <w:p w:rsidR="00000000" w:rsidRDefault="00E270FF">
      <w:pPr>
        <w:spacing w:line="300" w:lineRule="exact"/>
        <w:jc w:val="both"/>
      </w:pPr>
    </w:p>
    <w:p w:rsidR="00000000" w:rsidRDefault="00E270FF">
      <w:pPr>
        <w:pStyle w:val="Titolo"/>
      </w:pPr>
      <w:r>
        <w:t>II</w:t>
      </w:r>
    </w:p>
    <w:p w:rsidR="00000000" w:rsidRDefault="00E270FF">
      <w:pPr>
        <w:spacing w:line="300" w:lineRule="exact"/>
        <w:jc w:val="both"/>
      </w:pPr>
    </w:p>
    <w:p w:rsidR="00000000" w:rsidRDefault="00E270FF">
      <w:pPr>
        <w:spacing w:line="300" w:lineRule="exact"/>
        <w:jc w:val="both"/>
      </w:pPr>
    </w:p>
    <w:p w:rsidR="00000000" w:rsidRDefault="00E270FF">
      <w:pPr>
        <w:spacing w:line="300" w:lineRule="exact"/>
        <w:jc w:val="both"/>
      </w:pPr>
      <w:r>
        <w:t>Nous avons passé en revue un certain nombre de philosophes français, en tenant surtout compte de leur diversité, de leur originalité, de ce qu’ils ont apporté de nou</w:t>
      </w:r>
      <w:r>
        <w:t>veau et de ce que le monde leur doit. Nous allons maintenant chercher s’ils ne présenteraient pas certains traits communs, caractéristiques de la pensée française.</w:t>
      </w:r>
    </w:p>
    <w:p w:rsidR="00000000" w:rsidRDefault="00E270FF">
      <w:pPr>
        <w:spacing w:line="300" w:lineRule="exact"/>
        <w:jc w:val="both"/>
      </w:pPr>
    </w:p>
    <w:p w:rsidR="00000000" w:rsidRDefault="00E270FF">
      <w:pPr>
        <w:spacing w:line="300" w:lineRule="exact"/>
        <w:jc w:val="both"/>
      </w:pPr>
      <w:r>
        <w:t xml:space="preserve">Le trait qui frappe d’abord, quand on parcourt un de leurs livres, est la simplicité de la </w:t>
      </w:r>
      <w:r>
        <w:t>forme. Si on laisse de côté, dans la seconde moitié du XIX</w:t>
      </w:r>
      <w:r>
        <w:rPr>
          <w:vertAlign w:val="superscript"/>
        </w:rPr>
        <w:t>e</w:t>
      </w:r>
      <w:r>
        <w:t xml:space="preserve"> siècle, une période de vingt ou trente ans pendant laquelle un petit nombre de penseurs, subissant une influence étrangère, se départirent parfois de la clarté traditionnelle, on peut dire que la </w:t>
      </w:r>
      <w:r>
        <w:t xml:space="preserve">philosophie française s’est toujours réglée sur le principe suivant : il n’y a pas d’idée philosophique, si profonde ou si </w:t>
      </w:r>
      <w:r>
        <w:lastRenderedPageBreak/>
        <w:t>subtile soit-elle, qui ne puisse et ne doive s’exprimer dans la langue de tout le monde. Les philosophes français n’écrivent pas pour</w:t>
      </w:r>
      <w:r>
        <w:t xml:space="preserve"> un cercle restreint d’initiés ; ils s’adressent à l’humanité en général. Si, pour mesurer la profon</w:t>
      </w:r>
      <w:r>
        <w:softHyphen/>
        <w:t>deur de leur pensée et pour la comprendre pleinement, il faut être philosophe et savant, néanmoins il n’est pas d’homme cultivé qui ne soit en état de lire</w:t>
      </w:r>
      <w:r>
        <w:t xml:space="preserve"> leurs principales œuvres et d’en tirer quelque profit. Quand ils ont eu besoin de moyens d’expression nouveaux, ils ne les ont pas cherchés, comme on l’a fait ailleurs, dans la création d’un vocabulaire spécial (opération qui aboutit souvent à enfermer, d</w:t>
      </w:r>
      <w:r>
        <w:t xml:space="preserve">ans des termes artificiellement composés, des idées incomplètement digérées), mais plutôt dans un assemblage ingénieux des mots usuels, qui donne à ces mots de nouvelles nuances de sens et leur permet de traduire des idées plus subtiles ou plus profondes. </w:t>
      </w:r>
      <w:r>
        <w:t>Ainsi s’explique qu’un Descartes, un Pascal, un Rousseau, — pour ne citer que ceux-là, — aient beaucoup accru la force et la flexibilité de la langue française, soit que l’objet de leur analyse fût plus proprement la pensée (Descartes), soit que ce fût aus</w:t>
      </w:r>
      <w:r>
        <w:t>si le sentiment (Pascal, Rousseau). Il faut, en effet, avoir poussé jusqu’au bout la décomposition de ce qu’on a dans l’esprit pour arriver à s’exprimer en termes simples. Mais, à des degrés différents, tous les philosophes français ont eu ce don d’analyse</w:t>
      </w:r>
      <w:r>
        <w:t>. Le besoin de résoudre les idées et même les sentiments en éléments clairs et distincts, qui trouvent leurs moyens d’expression dans la langue commune, est caractéristique de la philosophie française depuis ses origines.</w:t>
      </w:r>
    </w:p>
    <w:p w:rsidR="00000000" w:rsidRDefault="00E270FF">
      <w:pPr>
        <w:spacing w:line="300" w:lineRule="exact"/>
        <w:jc w:val="both"/>
      </w:pPr>
    </w:p>
    <w:p w:rsidR="00000000" w:rsidRDefault="00E270FF">
      <w:pPr>
        <w:spacing w:line="300" w:lineRule="exact"/>
        <w:jc w:val="both"/>
      </w:pPr>
      <w:r>
        <w:t>Si maintenant on passe de la form</w:t>
      </w:r>
      <w:r>
        <w:t>e au fond, voici ce qu’on remarquera d’abord.</w:t>
      </w:r>
    </w:p>
    <w:p w:rsidR="00000000" w:rsidRDefault="00E270FF">
      <w:pPr>
        <w:spacing w:line="300" w:lineRule="exact"/>
        <w:jc w:val="both"/>
      </w:pPr>
    </w:p>
    <w:p w:rsidR="00000000" w:rsidRDefault="00E270FF">
      <w:pPr>
        <w:spacing w:line="300" w:lineRule="exact"/>
        <w:jc w:val="both"/>
      </w:pPr>
      <w:r>
        <w:t>La philosophie française a toujours été étroitement liée à la science positive. Ailleurs, en Allemagne par exemple, tel philosophe a pu être savant, tel savant a pu être philosophe ; mais la rencontre des deux</w:t>
      </w:r>
      <w:r>
        <w:t xml:space="preserve"> aptitudes ou des deux habitudes a été un fait exceptionnel et, pour ainsi dire, accidentel. Si Leibniz fut à la fois un grand philosophe et un grand mathématicien, nous voyons que le principal développement de la philosophie allemande, celui qui remplit l</w:t>
      </w:r>
      <w:r>
        <w:t>a première moitié du XIX</w:t>
      </w:r>
      <w:r>
        <w:rPr>
          <w:vertAlign w:val="superscript"/>
        </w:rPr>
        <w:t>e</w:t>
      </w:r>
      <w:r>
        <w:t xml:space="preserve"> siècle, s’est effectué en dehors de la science positive. Il est de l’essence de la philosophie française, au contraire, de s’appuyer sur la science. Chez Descartes, l’union est si intime entre la philosophie et les mathématiques q</w:t>
      </w:r>
      <w:r>
        <w:t>u’il est difficile de dire si sa géométrie lui fut suggérée par sa métaphysique ou si sa métaphysique est une extension de sa géométrie. Pascal fut un profond mathématicien, un physicien original, avant d’être un philosophe. La philosophie française du XVI</w:t>
      </w:r>
      <w:r>
        <w:t>II</w:t>
      </w:r>
      <w:r>
        <w:rPr>
          <w:vertAlign w:val="superscript"/>
        </w:rPr>
        <w:t>e</w:t>
      </w:r>
      <w:r>
        <w:t xml:space="preserve"> siècle se recruta principalement parmi les géomètres, les naturalistes et les médecins (d’Alembert, La Mettrie, Bonnet, Cabanis, etc.). Au XIX</w:t>
      </w:r>
      <w:r>
        <w:rPr>
          <w:vertAlign w:val="superscript"/>
        </w:rPr>
        <w:t>e</w:t>
      </w:r>
      <w:r>
        <w:t xml:space="preserve"> siècle, quelques-uns des plus grands penseurs français, Auguste Comte, Cournot, Renouvier, etc., </w:t>
      </w:r>
      <w:r>
        <w:lastRenderedPageBreak/>
        <w:t>vinrent à l</w:t>
      </w:r>
      <w:r>
        <w:t>a philosophie à travers les mathématiques ; l’un d’eux, Henri Poincaré, fut un mathématicien de génie. Claude Bernard, qui nous a donné la philosophie de la méthode expérimentale, fut un des créateurs de la science physiologique. Ceux mêmes des philosophes</w:t>
      </w:r>
      <w:r>
        <w:t xml:space="preserve"> français qui se sont voués pendant le dernier siècle à l’observation intérieure ont éprouvé le besoin de chercher en dehors d’eux, dans la physiologie, dans la pathologie mentale, etc., quelque chose qui les assurât qu’ils ne se livraient pas à un simple </w:t>
      </w:r>
      <w:r>
        <w:t xml:space="preserve">jeu d’idées, à une manipulation de concepts abstraits : la tendance est déjà visible chez le grand initiateur de la méthode d’introspection profonde, Maine de Biran. En un mot, l’union étroite de la philosophie et de la science est un fait si constant, en </w:t>
      </w:r>
      <w:r>
        <w:t>France qu’il pourrait suffire à caractériser et à définir la philosophie française.</w:t>
      </w:r>
    </w:p>
    <w:p w:rsidR="00000000" w:rsidRDefault="00E270FF">
      <w:pPr>
        <w:spacing w:line="300" w:lineRule="exact"/>
        <w:jc w:val="both"/>
      </w:pPr>
    </w:p>
    <w:p w:rsidR="00000000" w:rsidRDefault="00E270FF">
      <w:pPr>
        <w:spacing w:line="300" w:lineRule="exact"/>
        <w:jc w:val="both"/>
      </w:pPr>
      <w:r>
        <w:t>Un trait moins particulier, mais bien frappant encore, est le goût des philosophes français pour la psychologie, leur penchant à l’observation intérieure. Assurément ce tr</w:t>
      </w:r>
      <w:r>
        <w:t>ait ne pourrait plus suffire, comme le précédent, à définir la tradition française, car l’aptitude à se sonder soi-même, et à pénétrer sympathiquement dans l’âme d’autrui, est sans doute aussi répandue en Angleterre et en Amérique, par exemple, qu’elle l’e</w:t>
      </w:r>
      <w:r>
        <w:t>st en France. Mais, tandis que les grands penseurs allemands (même Leibniz, même Kant) n’ont guère eu, en tout cas, n’ont guère manifesté, de sens psychologique, tandis que Schopenhauer (tout imprégné, d’ailleurs, de la philosophie française du XVIII</w:t>
      </w:r>
      <w:r>
        <w:rPr>
          <w:vertAlign w:val="superscript"/>
        </w:rPr>
        <w:t>e</w:t>
      </w:r>
      <w:r>
        <w:t xml:space="preserve"> sièc</w:t>
      </w:r>
      <w:r>
        <w:t>le) est peut-être le seul métaphysicien allemand qui ait été psychologue, au contraire il n’y a pas de grand philosophe français qui ne se soit révélé, à l’occasion, subtil et pénétrant observateur de l’âme humaine. Inutile de rappeler les fines études psy</w:t>
      </w:r>
      <w:r>
        <w:t xml:space="preserve">chologiques qu’on trouve chez Descartes et chez Malebranche, intimement mêlées à leurs spéculations métaphysiques. La vision d’un Pascal était aussi aiguë quand elle s’exerçait dans les régions mal éclairées de l’âme que lorsqu’elle portait sur les choses </w:t>
      </w:r>
      <w:r>
        <w:t>physiques, géométri</w:t>
      </w:r>
      <w:r>
        <w:softHyphen/>
        <w:t>ques, philosophiques. Condillac fut un psychologue autant qu’un logicien. Que dire alors de ceux qui ont ouvert à l’analyse psychologique des voies nouvelles, comme Rousseau ou Maine de Biran ? Pendant tout le XVII</w:t>
      </w:r>
      <w:r>
        <w:rPr>
          <w:vertAlign w:val="superscript"/>
        </w:rPr>
        <w:t>e</w:t>
      </w:r>
      <w:r>
        <w:t xml:space="preserve"> et le XVIII</w:t>
      </w:r>
      <w:r>
        <w:rPr>
          <w:vertAlign w:val="superscript"/>
        </w:rPr>
        <w:t>e</w:t>
      </w:r>
      <w:r>
        <w:t xml:space="preserve"> siècles</w:t>
      </w:r>
      <w:r>
        <w:t>, la pensée française, s’exerçant sur la vie intérieure, a préparé la psychologie purement scientifique qui devait être l’œuvre du XIX</w:t>
      </w:r>
      <w:r>
        <w:rPr>
          <w:vertAlign w:val="superscript"/>
        </w:rPr>
        <w:t>e</w:t>
      </w:r>
      <w:r>
        <w:t xml:space="preserve"> siècle. Nul, d’ailleurs, n’a plus contribué à fonder cette psychologie scientifique qu’un Moreau de Tours, un Charcot ou</w:t>
      </w:r>
      <w:r>
        <w:t xml:space="preserve"> un Ribot. Remarquons que la méthode de ces psychologues, — celle qui a valu à la psychologie, en somme, ses plus impor</w:t>
      </w:r>
      <w:r>
        <w:softHyphen/>
        <w:t>tantes découvertes, — n’est qu’une extension de la méthode d’observation intérieure. C’est toujours à la conscience qu’elle fait appel ;</w:t>
      </w:r>
      <w:r>
        <w:t xml:space="preserve"> seulement, elle note les indications de la conscience chez le malade, au lieu de s’en tenir à l’homme bien portant.</w:t>
      </w:r>
    </w:p>
    <w:p w:rsidR="00000000" w:rsidRDefault="00E270FF">
      <w:pPr>
        <w:spacing w:line="300" w:lineRule="exact"/>
        <w:jc w:val="both"/>
      </w:pPr>
    </w:p>
    <w:p w:rsidR="00000000" w:rsidRDefault="00E270FF">
      <w:pPr>
        <w:spacing w:line="300" w:lineRule="exact"/>
        <w:jc w:val="both"/>
      </w:pPr>
      <w:r>
        <w:lastRenderedPageBreak/>
        <w:t>Tels sont les deux principaux traits de la philosophie française.</w:t>
      </w:r>
    </w:p>
    <w:p w:rsidR="00000000" w:rsidRDefault="00E270FF">
      <w:pPr>
        <w:spacing w:line="300" w:lineRule="exact"/>
        <w:jc w:val="both"/>
      </w:pPr>
    </w:p>
    <w:p w:rsidR="00000000" w:rsidRDefault="00E270FF">
      <w:pPr>
        <w:spacing w:line="300" w:lineRule="exact"/>
        <w:jc w:val="both"/>
      </w:pPr>
      <w:r>
        <w:t>En se composant ensemble, ils donnent à cette philosophie sa physionomi</w:t>
      </w:r>
      <w:r>
        <w:t xml:space="preserve">e propre. C’est une philosophie qui serre de près les contours de la réalité extérieure, telle que le physicien se la représente, et de très près aussi ceux de la réalité intérieure, telle qu’elle apparaît au psychologue. Par là même, elle répugne le plus </w:t>
      </w:r>
      <w:r>
        <w:t xml:space="preserve">souvent à prendre la forme d’un </w:t>
      </w:r>
      <w:r>
        <w:rPr>
          <w:i/>
        </w:rPr>
        <w:t>système</w:t>
      </w:r>
      <w:r>
        <w:t>. Elle rejette aussi bien le dogmatisme à outrance que le criticisme radical ; sa méthode est aussi éloignée de celle d’un Hegel que de celle d’un Kant. Ce n’est pas à dire qu’elle ne soit pas capable d’édifier, quand</w:t>
      </w:r>
      <w:r>
        <w:t xml:space="preserve"> il lui plaît, quelque grande cons</w:t>
      </w:r>
      <w:r>
        <w:softHyphen/>
        <w:t>truction. Mais les philosophes français semblent avoir eu généralement cette arrière-pensée que systématiser est facile, qu’il est trop aisé d’aller jusqu’au bout d’une idée, que la difficulté est plutôt d’arrêter la dédu</w:t>
      </w:r>
      <w:r>
        <w:t>ction où il faut, de l’infléchir comme il faut, grâce à l’approfondissement des sciences particuliè</w:t>
      </w:r>
      <w:r>
        <w:softHyphen/>
        <w:t>res et au contact sans cesse maintenu avec la réalité. Pascal a dit que l’ « esprit géométrique » ne suffisait pas : le philosophe doit y joindre l’ « espri</w:t>
      </w:r>
      <w:r>
        <w:t xml:space="preserve">t de finesse ». Et Descartes, ce grand métaphysicien, déclarait avoir consacré peu d’heures à la métaphysique, entendant par là, sans doute, que le travail de pure déduction ou de pure construction métaphysique s’effectue de lui-même, pour peu qu’on y ait </w:t>
      </w:r>
      <w:r>
        <w:t>l’esprit prédisposé. — Allèguera-t-on qu’en se faisant moins systématique la philosophie s’écarte de son but, et que son rôle est précisé</w:t>
      </w:r>
      <w:r>
        <w:softHyphen/>
        <w:t>ment d’unifier le réel ? — Mais la philosophie française n’a jamais renon</w:t>
      </w:r>
      <w:r>
        <w:softHyphen/>
        <w:t>cé à cette unification. Seulement, elle ne s</w:t>
      </w:r>
      <w:r>
        <w:t>e fie pas au procédé qui con</w:t>
      </w:r>
      <w:r>
        <w:softHyphen/>
        <w:t>siste à prendre telle ou telle idée et à y faire entrer, de gré ou de force, la totalité des choses. À cette idée on pourra toujours en opposer une autre, avec laquelle on construira, selon la même méthode, un système différent</w:t>
      </w:r>
      <w:r>
        <w:t> ; les deux systèmes seront d’ailleurs également soutenables, également invérifiables ; de sorte que la philosophie deviendra un simple jeu, un tournoi entre dialecticiens. Remar</w:t>
      </w:r>
      <w:r>
        <w:softHyphen/>
        <w:t>quons qu’une idée est un élément de notre intelligence, et que notre intelli</w:t>
      </w:r>
      <w:r>
        <w:softHyphen/>
      </w:r>
      <w:r>
        <w:t>gence elle-même est un élément de la réalité : comment donc une idée, qui n’est qu’une partie d’une partie, embrasserait-elle le Tout ? L’unification des choses ne pourra s’effectuer que par une opération beaucoup plus difficile, plus longue, plus délicate</w:t>
      </w:r>
      <w:r>
        <w:t> : la pensée humaine, au lieu de rétrécir la réalité à la dimension d’une de ses idées, devra se dilater elle-même au point de coïncider avec une portion de plus en plus vaste de la réalité. Mais il faudra, pour cela, le travail accumulé de bien des siècle</w:t>
      </w:r>
      <w:r>
        <w:t>s. En attendant, le rôle de chaque philosophe est de prendre, sur l’ensemble des choses, une vue qui pourra être définitive sur certains points, mais qui sera nécessairement provisoire sur d’autres. On aura bien là, si l’on veut, une espèce de système ; ma</w:t>
      </w:r>
      <w:r>
        <w:t>is le princi</w:t>
      </w:r>
      <w:r>
        <w:softHyphen/>
        <w:t>pe même du système sera flexible, indéfiniment extensible, au lieu d’être un principe arrêté, comme ceux qui ont donné jusqu’ici les construc</w:t>
      </w:r>
      <w:r>
        <w:softHyphen/>
        <w:t xml:space="preserve">tions métaphysiques proprement dites. Telle est, nous semble-t-il, l’idée implicite </w:t>
      </w:r>
      <w:r>
        <w:lastRenderedPageBreak/>
        <w:t>de la philosophie</w:t>
      </w:r>
      <w:r>
        <w:t xml:space="preserve"> française. C’est une idée qui n’est devenue tout à fait consciente à elle-même, ou qui n’a pris la peine de se formuler, que dans ces derniers temps. Mais, si elle ne s’était pas dégagée plus tôt, c’est justement parce qu’elle était naturelle à l’esprit f</w:t>
      </w:r>
      <w:r>
        <w:t>rançais, esprit souple et vivant, qui n’a rien de mécanique ou d’artificiel, esprit éminemment sociable aussi, qui répugne aux constructions individuelles et va d’instinct à ce qui est humain.</w:t>
      </w:r>
    </w:p>
    <w:p w:rsidR="00000000" w:rsidRDefault="00E270FF">
      <w:pPr>
        <w:spacing w:line="300" w:lineRule="exact"/>
        <w:jc w:val="both"/>
      </w:pPr>
    </w:p>
    <w:p w:rsidR="00000000" w:rsidRDefault="00E270FF">
      <w:pPr>
        <w:pStyle w:val="Rientrocorpodeltesto3"/>
        <w:spacing w:line="300" w:lineRule="exact"/>
        <w:ind w:left="14" w:firstLine="374"/>
        <w:rPr>
          <w:rFonts w:ascii="Times" w:hAnsi="Times"/>
        </w:rPr>
      </w:pPr>
      <w:r>
        <w:rPr>
          <w:rFonts w:ascii="Times" w:hAnsi="Times"/>
        </w:rPr>
        <w:t>Par là, par les deux ou trois tendances que nous venons d’indi</w:t>
      </w:r>
      <w:r>
        <w:rPr>
          <w:rFonts w:ascii="Times" w:hAnsi="Times"/>
        </w:rPr>
        <w:t>quer, s’explique peut-être ce qu’il y a eu de constamment génial et de constamment créateur dans la philosophie française. Comme elle s’est toujours astreinte à parler le langage de tout le monde, elle n’a pas été le privilège d’une espèce de caste philoso</w:t>
      </w:r>
      <w:r>
        <w:rPr>
          <w:rFonts w:ascii="Times" w:hAnsi="Times"/>
        </w:rPr>
        <w:t>phique ; elle est restée soumise au contrôle de tous ; elle n’a jamais rompu avec le sens commun. Pratiquée par des hommes qui furent des psychologues, des biologistes, des physiciens, des mathématiciens, elle s’est continuellement maintenue en contact ave</w:t>
      </w:r>
      <w:r>
        <w:rPr>
          <w:rFonts w:ascii="Times" w:hAnsi="Times"/>
        </w:rPr>
        <w:t>c la science aussi bien qu’avec la vie. Ce contact permanent avec la vie, avec la science, avec le sens commun, l’a sans cesse fécondée en même temps qu’il l’empêchait de s’amuser avec elle-même, de recomposer artificiellement les choses avec des abstracti</w:t>
      </w:r>
      <w:r>
        <w:rPr>
          <w:rFonts w:ascii="Times" w:hAnsi="Times"/>
        </w:rPr>
        <w:t>ons. Mais, si la philosophie française a pu se revivifier indéfiniment ainsi en utilisant toutes les manifestations de l’esprit français, n’est-ce pas parce que ces manifestations tendaient elles-mêmes à prendre la forme philosophique ? Bien rares, en Fran</w:t>
      </w:r>
      <w:r>
        <w:rPr>
          <w:rFonts w:ascii="Times" w:hAnsi="Times"/>
        </w:rPr>
        <w:t>ce, sont les savants, les écrivains, les artistes et même les artisans qui s’absorbent dans la matérialité de ce qu’ils font, qui ne cherchent pas à extraire — fût-ce avec maladresse, fût-ce avec quelque naïveté — la philosophie de leur science, de leur ar</w:t>
      </w:r>
      <w:r>
        <w:rPr>
          <w:rFonts w:ascii="Times" w:hAnsi="Times"/>
        </w:rPr>
        <w:t>t ou de leur métier. Le besoin de philo</w:t>
      </w:r>
      <w:r>
        <w:rPr>
          <w:rFonts w:ascii="Times" w:hAnsi="Times"/>
        </w:rPr>
        <w:softHyphen/>
        <w:t>sopher est universel : il tend à porter toute discussion, même d’affaires, sur le terrain des idées et des principes. Il traduit probablement l’aspiration la plus profonde de l’âme française, qui va tout droit à ce q</w:t>
      </w:r>
      <w:r>
        <w:rPr>
          <w:rFonts w:ascii="Times" w:hAnsi="Times"/>
        </w:rPr>
        <w:t>ui est général et, par là, à ce qui est généreux. En ce sens, l’esprit français ne fait qu’un avec l’esprit philosophique.</w:t>
      </w:r>
    </w:p>
    <w:p w:rsidR="00000000" w:rsidRDefault="00E270FF">
      <w:pPr>
        <w:spacing w:line="300" w:lineRule="exact"/>
        <w:jc w:val="both"/>
      </w:pPr>
    </w:p>
    <w:p w:rsidR="00000000" w:rsidRDefault="00E270FF">
      <w:pPr>
        <w:spacing w:line="300" w:lineRule="exact"/>
        <w:jc w:val="both"/>
      </w:pPr>
    </w:p>
    <w:p w:rsidR="00E270FF" w:rsidRDefault="00E270FF">
      <w:pPr>
        <w:ind w:left="20"/>
        <w:jc w:val="both"/>
      </w:pPr>
      <w:r>
        <w:t>H. BERGSON</w:t>
      </w:r>
    </w:p>
    <w:sectPr w:rsidR="00E270FF">
      <w:headerReference w:type="default" r:id="rId12"/>
      <w:footnotePr>
        <w:numRestart w:val="eachPage"/>
      </w:footnotePr>
      <w:pgSz w:w="12240" w:h="15840"/>
      <w:pgMar w:top="1800" w:right="1080" w:bottom="1440" w:left="288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0FF" w:rsidRDefault="00E270FF">
      <w:r>
        <w:separator/>
      </w:r>
    </w:p>
  </w:endnote>
  <w:endnote w:type="continuationSeparator" w:id="0">
    <w:p w:rsidR="00E270FF" w:rsidRDefault="00E2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0" w:usb1="00000000" w:usb2="00000000" w:usb3="00000000" w:csb0="00000001" w:csb1="00000000"/>
  </w:font>
  <w:font w:name="LikeDB">
    <w:altName w:val="Monaco"/>
    <w:panose1 w:val="020B06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0FF" w:rsidRDefault="00E270FF">
      <w:pPr>
        <w:ind w:firstLine="0"/>
      </w:pPr>
      <w:r>
        <w:separator/>
      </w:r>
    </w:p>
  </w:footnote>
  <w:footnote w:type="continuationSeparator" w:id="0">
    <w:p w:rsidR="00E270FF" w:rsidRDefault="00E270FF">
      <w:pPr>
        <w:ind w:firstLine="0"/>
      </w:pPr>
      <w:r>
        <w:separator/>
      </w:r>
    </w:p>
  </w:footnote>
  <w:footnote w:id="1">
    <w:p w:rsidR="00000000" w:rsidRDefault="00E270FF">
      <w:pPr>
        <w:pStyle w:val="Testonotaapidipagina"/>
      </w:pPr>
      <w:r>
        <w:rPr>
          <w:rStyle w:val="Rimandonotaapidipagina"/>
        </w:rPr>
        <w:footnoteRef/>
      </w:r>
      <w:r>
        <w:tab/>
        <w:t xml:space="preserve">Ce travail doit être distribué, sous forme de brochure, aux visiteurs de l’Exposition de San Francisco. Avec d’autres </w:t>
      </w:r>
      <w:r>
        <w:t xml:space="preserve">travaux du même genre, se rapportant aux différentes branches de la science, et rédigés par divers auteurs, il fera partie d’un ouvrage intitulé </w:t>
      </w:r>
      <w:r>
        <w:rPr>
          <w:i/>
        </w:rPr>
        <w:t>La Science française</w:t>
      </w:r>
      <w:r>
        <w:t>, qui paraîtra prochainement à la librairie Larousse.</w:t>
      </w:r>
    </w:p>
  </w:footnote>
  <w:footnote w:id="2">
    <w:p w:rsidR="00000000" w:rsidRDefault="00E270FF">
      <w:pPr>
        <w:pStyle w:val="Testonotaapidipagina"/>
      </w:pPr>
      <w:r>
        <w:rPr>
          <w:rStyle w:val="Rimandonotaapidipagina"/>
        </w:rPr>
        <w:footnoteRef/>
      </w:r>
      <w:r>
        <w:tab/>
        <w:t>1596-1650.</w:t>
      </w:r>
    </w:p>
  </w:footnote>
  <w:footnote w:id="3">
    <w:p w:rsidR="00000000" w:rsidRDefault="00E270FF">
      <w:pPr>
        <w:pStyle w:val="Testonotaapidipagina"/>
      </w:pPr>
      <w:r>
        <w:rPr>
          <w:rStyle w:val="Rimandonotaapidipagina"/>
        </w:rPr>
        <w:footnoteRef/>
      </w:r>
      <w:r>
        <w:tab/>
        <w:t>1623-1662.</w:t>
      </w:r>
    </w:p>
  </w:footnote>
  <w:footnote w:id="4">
    <w:p w:rsidR="00000000" w:rsidRDefault="00E270FF">
      <w:pPr>
        <w:pStyle w:val="Testonotaapidipagina"/>
      </w:pPr>
      <w:r>
        <w:rPr>
          <w:rStyle w:val="Rimandonotaapidipagina"/>
        </w:rPr>
        <w:footnoteRef/>
      </w:r>
      <w:r>
        <w:tab/>
        <w:t>1638-1715</w:t>
      </w:r>
      <w:r>
        <w:t>.</w:t>
      </w:r>
    </w:p>
  </w:footnote>
  <w:footnote w:id="5">
    <w:p w:rsidR="00000000" w:rsidRDefault="00E270FF">
      <w:pPr>
        <w:pStyle w:val="Testonotaapidipagina"/>
      </w:pPr>
      <w:r>
        <w:rPr>
          <w:rStyle w:val="Rimandonotaapidipagina"/>
        </w:rPr>
        <w:footnoteRef/>
      </w:r>
      <w:r>
        <w:tab/>
        <w:t>1744-1829.</w:t>
      </w:r>
    </w:p>
  </w:footnote>
  <w:footnote w:id="6">
    <w:p w:rsidR="00000000" w:rsidRDefault="00E270FF">
      <w:pPr>
        <w:pStyle w:val="Testonotaapidipagina"/>
      </w:pPr>
      <w:r>
        <w:rPr>
          <w:rStyle w:val="Rimandonotaapidipagina"/>
        </w:rPr>
        <w:footnoteRef/>
      </w:r>
      <w:r>
        <w:tab/>
        <w:t>1707-1788.</w:t>
      </w:r>
    </w:p>
  </w:footnote>
  <w:footnote w:id="7">
    <w:p w:rsidR="00000000" w:rsidRDefault="00E270FF">
      <w:pPr>
        <w:pStyle w:val="Testonotaapidipagina"/>
      </w:pPr>
      <w:r>
        <w:rPr>
          <w:rStyle w:val="Rimandonotaapidipagina"/>
        </w:rPr>
        <w:footnoteRef/>
      </w:r>
      <w:r>
        <w:tab/>
        <w:t>1720-1793. Charles Bonnet, lié à Genève, appartenait à une famille française.</w:t>
      </w:r>
    </w:p>
  </w:footnote>
  <w:footnote w:id="8">
    <w:p w:rsidR="00000000" w:rsidRDefault="00E270FF">
      <w:pPr>
        <w:pStyle w:val="Testonotaapidipagina"/>
      </w:pPr>
      <w:r>
        <w:rPr>
          <w:rStyle w:val="Rimandonotaapidipagina"/>
        </w:rPr>
        <w:footnoteRef/>
      </w:r>
      <w:r>
        <w:tab/>
        <w:t>1709-1751.</w:t>
      </w:r>
    </w:p>
  </w:footnote>
  <w:footnote w:id="9">
    <w:p w:rsidR="00000000" w:rsidRDefault="00E270FF">
      <w:pPr>
        <w:pStyle w:val="Testonotaapidipagina"/>
      </w:pPr>
      <w:r>
        <w:rPr>
          <w:rStyle w:val="Rimandonotaapidipagina"/>
        </w:rPr>
        <w:footnoteRef/>
      </w:r>
      <w:r>
        <w:tab/>
        <w:t>1757-1808.</w:t>
      </w:r>
    </w:p>
  </w:footnote>
  <w:footnote w:id="10">
    <w:p w:rsidR="00000000" w:rsidRDefault="00E270FF">
      <w:pPr>
        <w:pStyle w:val="Testonotaapidipagina"/>
      </w:pPr>
      <w:r>
        <w:rPr>
          <w:rStyle w:val="Rimandonotaapidipagina"/>
        </w:rPr>
        <w:footnoteRef/>
      </w:r>
      <w:r>
        <w:tab/>
        <w:t>1689-1755.</w:t>
      </w:r>
    </w:p>
  </w:footnote>
  <w:footnote w:id="11">
    <w:p w:rsidR="00000000" w:rsidRDefault="00E270FF">
      <w:pPr>
        <w:pStyle w:val="Testonotaapidipagina"/>
      </w:pPr>
      <w:r>
        <w:rPr>
          <w:rStyle w:val="Rimandonotaapidipagina"/>
        </w:rPr>
        <w:footnoteRef/>
      </w:r>
      <w:r>
        <w:tab/>
        <w:t>1727-1781.</w:t>
      </w:r>
    </w:p>
  </w:footnote>
  <w:footnote w:id="12">
    <w:p w:rsidR="00000000" w:rsidRDefault="00E270FF">
      <w:pPr>
        <w:pStyle w:val="Testonotaapidipagina"/>
      </w:pPr>
      <w:r>
        <w:rPr>
          <w:rStyle w:val="Rimandonotaapidipagina"/>
        </w:rPr>
        <w:footnoteRef/>
      </w:r>
      <w:r>
        <w:tab/>
        <w:t>1713-1794.</w:t>
      </w:r>
    </w:p>
  </w:footnote>
  <w:footnote w:id="13">
    <w:p w:rsidR="00000000" w:rsidRDefault="00E270FF">
      <w:pPr>
        <w:pStyle w:val="Testonotaapidipagina"/>
      </w:pPr>
      <w:r>
        <w:rPr>
          <w:rStyle w:val="Rimandonotaapidipagina"/>
        </w:rPr>
        <w:footnoteRef/>
      </w:r>
      <w:r>
        <w:tab/>
        <w:t>1717-1783.</w:t>
      </w:r>
    </w:p>
  </w:footnote>
  <w:footnote w:id="14">
    <w:p w:rsidR="00000000" w:rsidRDefault="00E270FF">
      <w:pPr>
        <w:pStyle w:val="Testonotaapidipagina"/>
      </w:pPr>
      <w:r>
        <w:rPr>
          <w:rStyle w:val="Rimandonotaapidipagina"/>
        </w:rPr>
        <w:footnoteRef/>
      </w:r>
      <w:r>
        <w:tab/>
        <w:t>1713-1781.</w:t>
      </w:r>
    </w:p>
  </w:footnote>
  <w:footnote w:id="15">
    <w:p w:rsidR="00000000" w:rsidRDefault="00E270FF">
      <w:pPr>
        <w:pStyle w:val="Testonotaapidipagina"/>
      </w:pPr>
      <w:r>
        <w:rPr>
          <w:rStyle w:val="Rimandonotaapidipagina"/>
        </w:rPr>
        <w:footnoteRef/>
      </w:r>
      <w:r>
        <w:tab/>
        <w:t>1709-1751.</w:t>
      </w:r>
    </w:p>
  </w:footnote>
  <w:footnote w:id="16">
    <w:p w:rsidR="00000000" w:rsidRDefault="00E270FF">
      <w:pPr>
        <w:pStyle w:val="Testonotaapidipagina"/>
      </w:pPr>
      <w:r>
        <w:rPr>
          <w:rStyle w:val="Rimandonotaapidipagina"/>
        </w:rPr>
        <w:footnoteRef/>
      </w:r>
      <w:r>
        <w:tab/>
        <w:t>17l5-1771.</w:t>
      </w:r>
    </w:p>
  </w:footnote>
  <w:footnote w:id="17">
    <w:p w:rsidR="00000000" w:rsidRDefault="00E270FF">
      <w:pPr>
        <w:pStyle w:val="Testonotaapidipagina"/>
      </w:pPr>
      <w:r>
        <w:rPr>
          <w:rStyle w:val="Rimandonotaapidipagina"/>
        </w:rPr>
        <w:footnoteRef/>
      </w:r>
      <w:r>
        <w:tab/>
        <w:t>1723-1789.</w:t>
      </w:r>
    </w:p>
  </w:footnote>
  <w:footnote w:id="18">
    <w:p w:rsidR="00000000" w:rsidRDefault="00E270FF">
      <w:pPr>
        <w:pStyle w:val="Testonotaapidipagina"/>
      </w:pPr>
      <w:r>
        <w:rPr>
          <w:rStyle w:val="Rimandonotaapidipagina"/>
        </w:rPr>
        <w:footnoteRef/>
      </w:r>
      <w:r>
        <w:tab/>
        <w:t>Né à Genève, d’u</w:t>
      </w:r>
      <w:r>
        <w:t>ne famille d’origine française, en 1712. Mort en 1778.</w:t>
      </w:r>
    </w:p>
  </w:footnote>
  <w:footnote w:id="19">
    <w:p w:rsidR="00000000" w:rsidRDefault="00E270FF">
      <w:pPr>
        <w:pStyle w:val="Testonotaapidipagina"/>
      </w:pPr>
      <w:r>
        <w:rPr>
          <w:rStyle w:val="Rimandonotaapidipagina"/>
        </w:rPr>
        <w:footnoteRef/>
      </w:r>
      <w:r>
        <w:tab/>
        <w:t>Voltaire (1691-1778) appartient à l’histoire des lettres plutôt qu’à celle de la philosophie. Nous nous attachons surtout, dans le présent travail, à ceux qui furent, en philosophie, les créateurs d’</w:t>
      </w:r>
      <w:r>
        <w:t>idées et de méthodes nouvelles.</w:t>
      </w:r>
    </w:p>
  </w:footnote>
  <w:footnote w:id="20">
    <w:p w:rsidR="00000000" w:rsidRDefault="00E270FF">
      <w:pPr>
        <w:pStyle w:val="Testonotaapidipagina"/>
      </w:pPr>
      <w:r>
        <w:rPr>
          <w:rStyle w:val="Rimandonotaapidipagina"/>
        </w:rPr>
        <w:footnoteRef/>
      </w:r>
      <w:r>
        <w:tab/>
        <w:t>1813-1878.</w:t>
      </w:r>
    </w:p>
  </w:footnote>
  <w:footnote w:id="21">
    <w:p w:rsidR="00000000" w:rsidRDefault="00E270FF">
      <w:pPr>
        <w:pStyle w:val="Testonotaapidipagina"/>
      </w:pPr>
      <w:r>
        <w:rPr>
          <w:rStyle w:val="Rimandonotaapidipagina"/>
        </w:rPr>
        <w:footnoteRef/>
      </w:r>
      <w:r>
        <w:tab/>
        <w:t>1798-1857.</w:t>
      </w:r>
    </w:p>
  </w:footnote>
  <w:footnote w:id="22">
    <w:p w:rsidR="00000000" w:rsidRDefault="00E270FF">
      <w:pPr>
        <w:pStyle w:val="Testonotaapidipagina"/>
      </w:pPr>
      <w:r>
        <w:rPr>
          <w:rStyle w:val="Rimandonotaapidipagina"/>
        </w:rPr>
        <w:footnoteRef/>
      </w:r>
      <w:r>
        <w:tab/>
        <w:t>La sociologie devant faire l’objet d’une monographie spéciale, nous ne parlons ici ni de Saint-Simon, ni de Fourier, ni de Pierre Leroux, ni de Proudhon. La même raison fait que nous laissons de c</w:t>
      </w:r>
      <w:r>
        <w:t>ôté des penseurs contemporains éminents qui se sont orientés vers la sociologie : Espinas, Tarde, Durkheim, Lévy-Brühl, Le Bon, Worms, Bouglé, Simiand, Izoulet, Lacombe, Richard et beaucoup d’autres. L’œuvre de l’école sociologique française est considérab</w:t>
      </w:r>
      <w:r>
        <w:t>le ; il faut qu’elle soit étudiée séparément. On y rattacherait l’œuvre des moralistes : Bureau, Belot, Parodi, H. Michel, Caro, Bourdeau, Rauh, Darlu, Malapert, Buisson, etc. Enfin il faudrait faire une place à part — car il ne rentre dans aucune catégori</w:t>
      </w:r>
      <w:r>
        <w:t>e — au penseur original qu’est G. Sorel.</w:t>
      </w:r>
    </w:p>
  </w:footnote>
  <w:footnote w:id="23">
    <w:p w:rsidR="00000000" w:rsidRDefault="00E270FF">
      <w:pPr>
        <w:pStyle w:val="Testonotaapidipagina"/>
      </w:pPr>
      <w:r>
        <w:rPr>
          <w:rStyle w:val="Rimandonotaapidipagina"/>
        </w:rPr>
        <w:footnoteRef/>
      </w:r>
      <w:r>
        <w:tab/>
        <w:t>1823-1892.</w:t>
      </w:r>
    </w:p>
  </w:footnote>
  <w:footnote w:id="24">
    <w:p w:rsidR="00000000" w:rsidRDefault="00E270FF">
      <w:pPr>
        <w:pStyle w:val="Testonotaapidipagina"/>
      </w:pPr>
      <w:r>
        <w:rPr>
          <w:rStyle w:val="Rimandonotaapidipagina"/>
        </w:rPr>
        <w:footnoteRef/>
      </w:r>
      <w:r>
        <w:tab/>
        <w:t>1828-1893.</w:t>
      </w:r>
    </w:p>
  </w:footnote>
  <w:footnote w:id="25">
    <w:p w:rsidR="00000000" w:rsidRDefault="00E270FF">
      <w:pPr>
        <w:pStyle w:val="Testonotaapidipagina"/>
      </w:pPr>
      <w:r>
        <w:rPr>
          <w:rStyle w:val="Rimandonotaapidipagina"/>
        </w:rPr>
        <w:footnoteRef/>
      </w:r>
      <w:r>
        <w:tab/>
        <w:t>Elle a eu en France des représentants remarquables. Citons en particulier Alfred Binet.</w:t>
      </w:r>
    </w:p>
  </w:footnote>
  <w:footnote w:id="26">
    <w:p w:rsidR="00000000" w:rsidRDefault="00E270FF">
      <w:pPr>
        <w:pStyle w:val="Testonotaapidipagina"/>
      </w:pPr>
      <w:r>
        <w:rPr>
          <w:rStyle w:val="Rimandonotaapidipagina"/>
        </w:rPr>
        <w:footnoteRef/>
      </w:r>
      <w:r>
        <w:tab/>
        <w:t>1766-1824. De Biran il faudrait rapprocher Ampère (1775-1826). La place nous manque ici pour parl</w:t>
      </w:r>
      <w:r>
        <w:t>er de l’école théologique. Rappelons les noms de De Bonald (1754-1840), de De Maistre (1753-1821) et de Lamennais (1782-1854).</w:t>
      </w:r>
    </w:p>
  </w:footnote>
  <w:footnote w:id="27">
    <w:p w:rsidR="00000000" w:rsidRDefault="00E270FF">
      <w:pPr>
        <w:pStyle w:val="Testonotaapidipagina"/>
      </w:pPr>
      <w:r>
        <w:rPr>
          <w:rStyle w:val="Rimandonotaapidipagina"/>
        </w:rPr>
        <w:footnoteRef/>
      </w:r>
      <w:r>
        <w:tab/>
        <w:t>1813-1900.</w:t>
      </w:r>
    </w:p>
  </w:footnote>
  <w:footnote w:id="28">
    <w:p w:rsidR="00000000" w:rsidRDefault="00E270FF">
      <w:pPr>
        <w:pStyle w:val="Testonotaapidipagina"/>
      </w:pPr>
      <w:r>
        <w:rPr>
          <w:rStyle w:val="Rimandonotaapidipagina"/>
        </w:rPr>
        <w:footnoteRef/>
      </w:r>
      <w:r>
        <w:tab/>
        <w:t>1792-1867. Nous n’insistons pas sur la philosophie de Cousin, parce qu’elle fut surtout un éclectisme. Il n’y en e</w:t>
      </w:r>
      <w:r>
        <w:t>ut pas moins, dans l’école de Cousin, des philosophes très distingués, tels que Saisset, Simon, Janet. Il faut faire une place à part à Jouffroy (1796-1842) et à Vacherot (1809-1897). Comme précurseur de Cousin citons Royer-Collard (1763-1845).</w:t>
      </w:r>
    </w:p>
  </w:footnote>
  <w:footnote w:id="29">
    <w:p w:rsidR="00000000" w:rsidRDefault="00E270FF">
      <w:pPr>
        <w:pStyle w:val="Testonotaapidipagina"/>
      </w:pPr>
      <w:r>
        <w:rPr>
          <w:rStyle w:val="Rimandonotaapidipagina"/>
        </w:rPr>
        <w:footnoteRef/>
      </w:r>
      <w:r>
        <w:tab/>
        <w:t>1854-1912</w:t>
      </w:r>
      <w:r>
        <w:t>.</w:t>
      </w:r>
    </w:p>
  </w:footnote>
  <w:footnote w:id="30">
    <w:p w:rsidR="00000000" w:rsidRDefault="00E270FF">
      <w:pPr>
        <w:pStyle w:val="Testonotaapidipagina"/>
      </w:pPr>
      <w:r>
        <w:rPr>
          <w:rStyle w:val="Rimandonotaapidipagina"/>
        </w:rPr>
        <w:footnoteRef/>
      </w:r>
      <w:r>
        <w:tab/>
        <w:t>Nous laissons de côté, dans la présente étude, les travaux relatifs à l’analyse et à la critique des méthodes scientifiques. La part de la France, ici encore, est considérable. Citons, parmi beaucoup d’autres auteurs : le grand chimiste Berthelot, Jule</w:t>
      </w:r>
      <w:r>
        <w:t>s et Paul Tannery, Lechalas, Couturat, Duhem, Rey, Perrin, Borel, Pierre Boutroux, L. Poincaré, Goblot. L’œuvre de Lalande, comme aussi celles de Meyerson et de Brunschvicg, appartiennent tout à la fois à la théorie des sciences et à la philosophie général</w:t>
      </w:r>
      <w:r>
        <w:t>e. Nous en dirions autant du beau livre de Hannequin sur la théorie des atomes. — Dans les travaux de Le Dantec on trouve une interprétation et une extension mécanistiques de la science positive. Nous ne pouvons non plus parler de l’esthétique (Sully-Prudh</w:t>
      </w:r>
      <w:r>
        <w:t>omme, Séailles, Souriau, Dauriac, Bazaillas, Paulhan, Lalo, etc.), ni de l’histoire de la philosophie (Ravaisson, Cousin, Bouillier, Janet, Vacherot, Fouillée, Em. Boutroux, Delbos, Lévy-Brühl, Brochard, Espinas, Adam, Thamin, Halévy, Picavet, Faguet, X. L</w:t>
      </w:r>
      <w:r>
        <w:t>éon, G. Lyon, Delacroix, R. Berthelot, Hamelin, Basch, Berr, Rodier, Robin, Rivaud, Bréhier, etc.).</w:t>
      </w:r>
    </w:p>
  </w:footnote>
  <w:footnote w:id="31">
    <w:p w:rsidR="00000000" w:rsidRDefault="00E270FF">
      <w:pPr>
        <w:pStyle w:val="Testonotaapidipagina"/>
      </w:pPr>
      <w:r>
        <w:rPr>
          <w:rStyle w:val="Rimandonotaapidipagina"/>
        </w:rPr>
        <w:footnoteRef/>
      </w:r>
      <w:r>
        <w:tab/>
        <w:t>La philosophie religieuse a donné lieu, en France, à des travaux importants. Rappelons seulement, pour nous en tenir aux plus récents, les noms d’Ollé-Lap</w:t>
      </w:r>
      <w:r>
        <w:t>rune, de Blondel, de Laberthonnière, de Fonsegrive, de Wilbois, de H. Bois, de Segond, d’Auguste Sabatier, de Paul Sabatier, etc.</w:t>
      </w:r>
    </w:p>
  </w:footnote>
  <w:footnote w:id="32">
    <w:p w:rsidR="00000000" w:rsidRDefault="00E270FF">
      <w:pPr>
        <w:pStyle w:val="Testonotaapidipagina"/>
      </w:pPr>
      <w:r>
        <w:rPr>
          <w:rStyle w:val="Rimandonotaapidipagina"/>
        </w:rPr>
        <w:footnoteRef/>
      </w:r>
      <w:r>
        <w:tab/>
        <w:t>1838-1912.</w:t>
      </w:r>
    </w:p>
  </w:footnote>
  <w:footnote w:id="33">
    <w:p w:rsidR="00000000" w:rsidRDefault="00E270FF">
      <w:pPr>
        <w:pStyle w:val="Testonotaapidipagina"/>
      </w:pPr>
      <w:r>
        <w:rPr>
          <w:rStyle w:val="Rimandonotaapidipagina"/>
        </w:rPr>
        <w:footnoteRef/>
      </w:r>
      <w:r>
        <w:tab/>
        <w:t>1854-1888.</w:t>
      </w:r>
    </w:p>
  </w:footnote>
  <w:footnote w:id="34">
    <w:p w:rsidR="00000000" w:rsidRDefault="00E270FF">
      <w:pPr>
        <w:pStyle w:val="Testonotaapidipagina"/>
      </w:pPr>
      <w:r>
        <w:rPr>
          <w:rStyle w:val="Rimandonotaapidipagina"/>
        </w:rPr>
        <w:footnoteRef/>
      </w:r>
      <w:r>
        <w:tab/>
        <w:t>Combien d’autres métaphysiciens et psychologues mériteraient d’être étudiés ici ! Citons, en parti</w:t>
      </w:r>
      <w:r>
        <w:t>culier, Évellin, Dunan, Paulhan, Weber.</w:t>
      </w:r>
    </w:p>
  </w:footnote>
  <w:footnote w:id="35">
    <w:p w:rsidR="00000000" w:rsidRDefault="00E270FF">
      <w:pPr>
        <w:pStyle w:val="Testonotaapidipagina"/>
      </w:pPr>
      <w:r>
        <w:rPr>
          <w:rStyle w:val="Rimandonotaapidipagina"/>
        </w:rPr>
        <w:footnoteRef/>
      </w:r>
      <w:r>
        <w:tab/>
        <w:t>1818-1903.</w:t>
      </w:r>
    </w:p>
  </w:footnote>
  <w:footnote w:id="36">
    <w:p w:rsidR="00000000" w:rsidRDefault="00E270FF">
      <w:pPr>
        <w:pStyle w:val="Testonotaapidipagina"/>
      </w:pPr>
      <w:r>
        <w:rPr>
          <w:rStyle w:val="Rimandonotaapidipagina"/>
        </w:rPr>
        <w:footnoteRef/>
      </w:r>
      <w:r>
        <w:tab/>
        <w:t>Parmi les philosophes qui se rattachent à Renouvier, citons Pillon, Dauriac et Hamelin.</w:t>
      </w:r>
    </w:p>
  </w:footnote>
  <w:footnote w:id="37">
    <w:p w:rsidR="00000000" w:rsidRDefault="00E270FF">
      <w:pPr>
        <w:pStyle w:val="Testonotaapidipagina"/>
      </w:pPr>
      <w:r>
        <w:rPr>
          <w:rStyle w:val="Rimandonotaapidipagina"/>
        </w:rPr>
        <w:footnoteRef/>
      </w:r>
      <w:r>
        <w:tab/>
        <w:t>1801-1877.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270FF">
    <w:pPr>
      <w:pStyle w:val="Intestazione"/>
      <w:tabs>
        <w:tab w:val="clear" w:pos="4320"/>
        <w:tab w:val="clear" w:pos="8640"/>
        <w:tab w:val="right" w:pos="7020"/>
        <w:tab w:val="right" w:pos="7560"/>
      </w:tabs>
      <w:ind w:firstLine="0"/>
      <w:rPr>
        <w:rFonts w:ascii="Times New Roman" w:hAnsi="Times New Roman"/>
      </w:rPr>
    </w:pPr>
    <w:r>
      <w:rPr>
        <w:rFonts w:ascii="Times New Roman" w:hAnsi="Times New Roman"/>
      </w:rPr>
      <w:tab/>
      <w:t>Henri Bergson (1915), “ La philosophie française ”</w:t>
    </w:r>
    <w:r>
      <w:rPr>
        <w:rFonts w:ascii="Times New Roman" w:hAnsi="Times New Roman"/>
      </w:rPr>
      <w:tab/>
    </w:r>
    <w:r>
      <w:rPr>
        <w:rStyle w:val="Numeropagina"/>
        <w:rFonts w:ascii="Times New Roman" w:hAnsi="Times New Roman"/>
      </w:rPr>
      <w:fldChar w:fldCharType="begin"/>
    </w:r>
    <w:r>
      <w:rPr>
        <w:rStyle w:val="Numeropagina"/>
        <w:rFonts w:ascii="Times New Roman" w:hAnsi="Times New Roman"/>
      </w:rPr>
      <w:instrText xml:space="preserve"> PAGE </w:instrText>
    </w:r>
    <w:r>
      <w:rPr>
        <w:rStyle w:val="Numeropagina"/>
        <w:rFonts w:ascii="Times New Roman" w:hAnsi="Times New Roman"/>
      </w:rPr>
      <w:fldChar w:fldCharType="separate"/>
    </w:r>
    <w:r>
      <w:rPr>
        <w:rStyle w:val="Numeropagina"/>
        <w:rFonts w:ascii="Times New Roman" w:hAnsi="Times New Roman"/>
        <w:noProof/>
      </w:rPr>
      <w:t>19</w:t>
    </w:r>
    <w:r>
      <w:rPr>
        <w:rStyle w:val="Numeropagina"/>
        <w:rFonts w:ascii="Times New Roman" w:hAnsi="Times New Roman"/>
      </w:rPr>
      <w:fldChar w:fldCharType="end"/>
    </w:r>
  </w:p>
  <w:p w:rsidR="00000000" w:rsidRDefault="00E270FF">
    <w:pPr>
      <w:pBdr>
        <w:top w:val="single" w:sz="4" w:space="1" w:color="auto"/>
      </w:pBdr>
      <w:spacing w:before="60"/>
      <w:rPr>
        <w:rStyle w:val="Numeropagina"/>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BAC5D06"/>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E90"/>
    <w:rsid w:val="00200E90"/>
    <w:rsid w:val="00E270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5C1330-8B92-CE4B-B8F9-9B1C4ED4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Puntoelenco2">
    <w:name w:val="List Bullet 2"/>
    <w:basedOn w:val="Normale"/>
    <w:autoRedefine/>
    <w:semiHidden/>
    <w:pPr>
      <w:numPr>
        <w:numId w:val="2"/>
      </w:numPr>
      <w:tabs>
        <w:tab w:val="clear" w:pos="720"/>
        <w:tab w:val="num" w:pos="643"/>
      </w:tabs>
      <w:ind w:left="643"/>
      <w:jc w:val="both"/>
    </w:pPr>
    <w:rPr>
      <w:rFonts w:ascii="LikeDB" w:hAnsi="LikeDB"/>
      <w:sz w:val="20"/>
      <w:lang w:val="fr-FR"/>
    </w:rPr>
  </w:style>
  <w:style w:type="paragraph" w:styleId="Testofumetto">
    <w:name w:val="Balloon Text"/>
    <w:basedOn w:val="Normale"/>
    <w:link w:val="TestofumettoCarattere"/>
    <w:uiPriority w:val="99"/>
    <w:semiHidden/>
    <w:unhideWhenUsed/>
    <w:rsid w:val="00200E90"/>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200E90"/>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rtrand.gibier@ac-lille.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bertrand.gibier@ac-lille.fr" TargetMode="External"/><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6133</Words>
  <Characters>34963</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La philosophie française ”</vt:lpstr>
      <vt:lpstr>Discours sur l'économie poligique</vt:lpstr>
    </vt:vector>
  </TitlesOfParts>
  <Manager>Bertrand Gibier</Manager>
  <Company>Jean marie Tremblay</Company>
  <LinksUpToDate>false</LinksUpToDate>
  <CharactersWithSpaces>41014</CharactersWithSpaces>
  <SharedDoc>false</SharedDoc>
  <HLinks>
    <vt:vector size="30" baseType="variant">
      <vt:variant>
        <vt:i4>1966119</vt:i4>
      </vt:variant>
      <vt:variant>
        <vt:i4>9</vt:i4>
      </vt:variant>
      <vt:variant>
        <vt:i4>0</vt:i4>
      </vt:variant>
      <vt:variant>
        <vt:i4>5</vt:i4>
      </vt:variant>
      <vt:variant>
        <vt:lpwstr>mailto:bertrand.gibier@ac-lille.fr</vt:lpwstr>
      </vt:variant>
      <vt:variant>
        <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1966119</vt:i4>
      </vt:variant>
      <vt:variant>
        <vt:i4>0</vt:i4>
      </vt:variant>
      <vt:variant>
        <vt:i4>0</vt:i4>
      </vt:variant>
      <vt:variant>
        <vt:i4>5</vt:i4>
      </vt:variant>
      <vt:variant>
        <vt:lpwstr>mailto:bertrand.gibier@ac-lille.fr</vt:lpwstr>
      </vt:variant>
      <vt:variant>
        <vt:lpwstr/>
      </vt:variant>
      <vt:variant>
        <vt:i4>6160477</vt:i4>
      </vt:variant>
      <vt:variant>
        <vt:i4>3222</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La philosophie française ”</dc:title>
  <dc:subject/>
  <dc:creator>Henri Bergson (1915)</dc:creator>
  <cp:keywords>jmt_sociologue@videotron.ca</cp:keywords>
  <dc:description>http://www.uqac.uquebec.ca/zone30/Classiques_des_sciences_sociales/index.html</dc:description>
  <cp:lastModifiedBy>Microsoft Office User</cp:lastModifiedBy>
  <cp:revision>2</cp:revision>
  <cp:lastPrinted>2002-11-01T07:12:00Z</cp:lastPrinted>
  <dcterms:created xsi:type="dcterms:W3CDTF">2019-05-21T07:09:00Z</dcterms:created>
  <dcterms:modified xsi:type="dcterms:W3CDTF">2019-05-21T07:09:00Z</dcterms:modified>
  <cp:category>Les Classiques des sciences sociales</cp:category>
</cp:coreProperties>
</file>